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firstLine="0" w:firstLineChars="0"/>
        <w:outlineLvl w:val="9"/>
        <w:rPr>
          <w:sz w:val="44"/>
        </w:rPr>
      </w:pPr>
      <w:bookmarkStart w:id="0" w:name="_Toc14023"/>
      <w:bookmarkStart w:id="1" w:name="_Toc22320"/>
      <w:bookmarkStart w:id="2" w:name="_Toc22914"/>
      <w:bookmarkStart w:id="3" w:name="_Toc15342"/>
      <w:bookmarkStart w:id="4" w:name="_Toc18184"/>
      <w:bookmarkStart w:id="5" w:name="_Toc9381"/>
      <w:bookmarkStart w:id="6" w:name="_Toc27339"/>
      <w:bookmarkStart w:id="7" w:name="_Toc25133"/>
      <w:bookmarkStart w:id="8" w:name="_Toc5152"/>
      <w:bookmarkStart w:id="9" w:name="_Toc25954"/>
      <w:bookmarkStart w:id="10" w:name="_Toc8201"/>
      <w:bookmarkStart w:id="11" w:name="_Toc13377"/>
      <w:bookmarkStart w:id="12" w:name="_Toc21020"/>
      <w:bookmarkStart w:id="13" w:name="_Toc8611"/>
      <w:r>
        <w:rPr>
          <w:rFonts w:hint="eastAsia"/>
          <w:sz w:val="44"/>
        </w:rPr>
        <w:t>三元区高标准农田建设专项规划</w:t>
      </w:r>
      <w:bookmarkEnd w:id="0"/>
      <w:bookmarkEnd w:id="1"/>
      <w:bookmarkEnd w:id="2"/>
      <w:bookmarkEnd w:id="3"/>
      <w:bookmarkEnd w:id="4"/>
      <w:bookmarkEnd w:id="5"/>
      <w:bookmarkEnd w:id="6"/>
      <w:bookmarkEnd w:id="7"/>
      <w:bookmarkEnd w:id="8"/>
      <w:bookmarkEnd w:id="9"/>
      <w:bookmarkEnd w:id="10"/>
      <w:bookmarkEnd w:id="11"/>
      <w:bookmarkEnd w:id="12"/>
      <w:bookmarkEnd w:id="13"/>
    </w:p>
    <w:p>
      <w:pPr>
        <w:pStyle w:val="11"/>
        <w:ind w:firstLine="0" w:firstLineChars="0"/>
        <w:outlineLvl w:val="9"/>
        <w:rPr>
          <w:sz w:val="44"/>
        </w:rPr>
      </w:pPr>
      <w:bookmarkStart w:id="14" w:name="_Toc16897"/>
      <w:bookmarkStart w:id="15" w:name="_Toc2788"/>
      <w:bookmarkStart w:id="16" w:name="_Toc5920"/>
      <w:bookmarkStart w:id="17" w:name="_Toc14287"/>
      <w:bookmarkStart w:id="18" w:name="_Toc222"/>
      <w:bookmarkStart w:id="19" w:name="_Toc32498"/>
      <w:bookmarkStart w:id="20" w:name="_Toc7634"/>
      <w:bookmarkStart w:id="21" w:name="_Toc19565"/>
      <w:bookmarkStart w:id="22" w:name="_Toc27703"/>
      <w:bookmarkStart w:id="23" w:name="_Toc28967"/>
      <w:bookmarkStart w:id="24" w:name="_Toc20132"/>
      <w:bookmarkStart w:id="25" w:name="_Toc12091"/>
      <w:bookmarkStart w:id="26" w:name="_Toc29646"/>
      <w:bookmarkStart w:id="27" w:name="_Toc26136"/>
      <w:r>
        <w:rPr>
          <w:sz w:val="44"/>
        </w:rPr>
        <w:t>（2021-2030年）</w:t>
      </w:r>
      <w:bookmarkEnd w:id="14"/>
      <w:bookmarkEnd w:id="15"/>
      <w:bookmarkEnd w:id="16"/>
      <w:bookmarkEnd w:id="17"/>
      <w:bookmarkEnd w:id="18"/>
      <w:bookmarkEnd w:id="19"/>
      <w:bookmarkEnd w:id="20"/>
      <w:bookmarkEnd w:id="21"/>
      <w:bookmarkEnd w:id="22"/>
      <w:bookmarkEnd w:id="23"/>
      <w:bookmarkEnd w:id="24"/>
      <w:bookmarkEnd w:id="25"/>
      <w:bookmarkEnd w:id="26"/>
      <w:bookmarkEnd w:id="27"/>
    </w:p>
    <w:p>
      <w:pPr>
        <w:ind w:firstLine="872"/>
        <w:rPr>
          <w:sz w:val="44"/>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6"/>
        <w:rPr>
          <w:sz w:val="44"/>
          <w:lang w:eastAsia="zh-CN"/>
        </w:rPr>
      </w:pPr>
    </w:p>
    <w:p>
      <w:pPr>
        <w:pStyle w:val="11"/>
        <w:ind w:firstLine="0" w:firstLineChars="0"/>
        <w:outlineLvl w:val="9"/>
      </w:pPr>
      <w:bookmarkStart w:id="28" w:name="_Toc22604"/>
      <w:bookmarkStart w:id="29" w:name="_Toc18068"/>
      <w:bookmarkStart w:id="30" w:name="_Toc22080"/>
      <w:bookmarkStart w:id="31" w:name="_Toc21975"/>
      <w:bookmarkStart w:id="32" w:name="_Toc15229"/>
      <w:bookmarkStart w:id="33" w:name="_Toc5469"/>
      <w:bookmarkStart w:id="34" w:name="_Toc10270"/>
      <w:bookmarkStart w:id="35" w:name="_Toc686"/>
      <w:bookmarkStart w:id="36" w:name="_Toc5864"/>
      <w:bookmarkStart w:id="37" w:name="_Toc892"/>
      <w:bookmarkStart w:id="38" w:name="_Toc26856"/>
      <w:bookmarkStart w:id="39" w:name="_Toc1000"/>
      <w:bookmarkStart w:id="40" w:name="_Toc10689"/>
      <w:bookmarkStart w:id="41" w:name="_Toc28347"/>
      <w:r>
        <w:rPr>
          <w:rFonts w:hint="eastAsia"/>
        </w:rPr>
        <w:t>三元区农业农村局</w:t>
      </w:r>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11"/>
        <w:ind w:firstLine="0" w:firstLineChars="0"/>
        <w:outlineLvl w:val="9"/>
      </w:pPr>
      <w:bookmarkStart w:id="42" w:name="_Toc30780"/>
      <w:bookmarkStart w:id="43" w:name="_Toc781"/>
      <w:bookmarkStart w:id="44" w:name="_Toc32467"/>
      <w:bookmarkStart w:id="45" w:name="_Toc5579"/>
      <w:bookmarkStart w:id="46" w:name="_Toc5099"/>
      <w:bookmarkStart w:id="47" w:name="_Toc17629"/>
      <w:bookmarkStart w:id="48" w:name="_Toc24200"/>
      <w:bookmarkStart w:id="49" w:name="_Toc18192"/>
      <w:bookmarkStart w:id="50" w:name="_Toc32003"/>
      <w:bookmarkStart w:id="51" w:name="_Toc598"/>
      <w:bookmarkStart w:id="52" w:name="_Toc29316"/>
      <w:bookmarkStart w:id="53" w:name="_Toc27301"/>
      <w:bookmarkStart w:id="54" w:name="_Toc6214"/>
      <w:bookmarkStart w:id="55" w:name="_Toc9166"/>
      <w:r>
        <w:rPr>
          <w:rFonts w:hint="eastAsia"/>
        </w:rPr>
        <w:t>三明市明兴水利水电勘察设计有限公司</w:t>
      </w:r>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11"/>
        <w:ind w:firstLine="0" w:firstLineChars="0"/>
        <w:outlineLvl w:val="9"/>
        <w:sectPr>
          <w:headerReference r:id="rId7" w:type="first"/>
          <w:footerReference r:id="rId10" w:type="first"/>
          <w:headerReference r:id="rId5" w:type="default"/>
          <w:footerReference r:id="rId8" w:type="default"/>
          <w:headerReference r:id="rId6" w:type="even"/>
          <w:footerReference r:id="rId9" w:type="even"/>
          <w:pgSz w:w="12020" w:h="16900"/>
          <w:pgMar w:top="1417" w:right="1417" w:bottom="1417" w:left="1417" w:header="850" w:footer="1019" w:gutter="0"/>
          <w:pgNumType w:start="1"/>
          <w:cols w:space="720" w:num="1"/>
        </w:sectPr>
      </w:pPr>
      <w:bookmarkStart w:id="56" w:name="_Toc15021"/>
      <w:bookmarkStart w:id="57" w:name="_Toc723"/>
      <w:bookmarkStart w:id="58" w:name="_Toc15412"/>
      <w:bookmarkStart w:id="59" w:name="_Toc6236"/>
      <w:bookmarkStart w:id="60" w:name="_Toc30080"/>
      <w:bookmarkStart w:id="61" w:name="_Toc18101"/>
      <w:bookmarkStart w:id="62" w:name="_Toc8641"/>
      <w:bookmarkStart w:id="63" w:name="_Toc8092"/>
      <w:bookmarkStart w:id="64" w:name="_Toc29939"/>
      <w:bookmarkStart w:id="65" w:name="_Toc23917"/>
      <w:bookmarkStart w:id="66" w:name="_Toc11778"/>
      <w:bookmarkStart w:id="67" w:name="_Toc2201"/>
      <w:bookmarkStart w:id="68" w:name="_Toc21317"/>
      <w:bookmarkStart w:id="69" w:name="_Toc19108"/>
      <w:r>
        <w:rPr>
          <w:rFonts w:hint="eastAsia"/>
        </w:rPr>
        <w:t>2023年1月</w:t>
      </w:r>
      <w:bookmarkEnd w:id="56"/>
      <w:bookmarkEnd w:id="57"/>
      <w:bookmarkEnd w:id="58"/>
      <w:bookmarkEnd w:id="59"/>
      <w:bookmarkEnd w:id="60"/>
      <w:bookmarkEnd w:id="61"/>
      <w:bookmarkEnd w:id="62"/>
      <w:bookmarkEnd w:id="63"/>
      <w:bookmarkEnd w:id="64"/>
      <w:bookmarkEnd w:id="65"/>
      <w:bookmarkEnd w:id="66"/>
      <w:bookmarkEnd w:id="67"/>
      <w:bookmarkEnd w:id="68"/>
      <w:bookmarkEnd w:id="69"/>
    </w:p>
    <w:p>
      <w:pPr>
        <w:spacing w:line="480" w:lineRule="auto"/>
        <w:ind w:firstLine="640"/>
        <w:jc w:val="center"/>
        <w:rPr>
          <w:rFonts w:eastAsia="宋体"/>
          <w:szCs w:val="32"/>
        </w:rPr>
      </w:pPr>
      <w:r>
        <w:rPr>
          <w:rFonts w:hint="eastAsia" w:eastAsia="宋体"/>
          <w:szCs w:val="32"/>
        </w:rPr>
        <w:drawing>
          <wp:anchor distT="0" distB="0" distL="114300" distR="114300" simplePos="0" relativeHeight="251660288" behindDoc="1" locked="0" layoutInCell="1" allowOverlap="1">
            <wp:simplePos x="0" y="0"/>
            <wp:positionH relativeFrom="column">
              <wp:posOffset>-1580515</wp:posOffset>
            </wp:positionH>
            <wp:positionV relativeFrom="page">
              <wp:posOffset>2361565</wp:posOffset>
            </wp:positionV>
            <wp:extent cx="8914130" cy="5746750"/>
            <wp:effectExtent l="0" t="0" r="6350" b="1270"/>
            <wp:wrapTight wrapText="bothSides">
              <wp:wrapPolygon>
                <wp:start x="21600" y="0"/>
                <wp:lineTo x="43" y="0"/>
                <wp:lineTo x="43" y="21552"/>
                <wp:lineTo x="21600" y="21552"/>
                <wp:lineTo x="21600" y="0"/>
              </wp:wrapPolygon>
            </wp:wrapTight>
            <wp:docPr id="4" name="图片 119" descr="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9" descr="正本(1)"/>
                    <pic:cNvPicPr>
                      <a:picLocks noChangeAspect="1"/>
                    </pic:cNvPicPr>
                  </pic:nvPicPr>
                  <pic:blipFill>
                    <a:blip r:embed="rId16"/>
                    <a:stretch>
                      <a:fillRect/>
                    </a:stretch>
                  </pic:blipFill>
                  <pic:spPr>
                    <a:xfrm rot="-5400000">
                      <a:off x="0" y="0"/>
                      <a:ext cx="8914130" cy="5746750"/>
                    </a:xfrm>
                    <a:prstGeom prst="rect">
                      <a:avLst/>
                    </a:prstGeom>
                    <a:noFill/>
                    <a:ln>
                      <a:noFill/>
                    </a:ln>
                  </pic:spPr>
                </pic:pic>
              </a:graphicData>
            </a:graphic>
          </wp:anchor>
        </w:drawing>
      </w:r>
    </w:p>
    <w:p>
      <w:pPr>
        <w:spacing w:line="480" w:lineRule="auto"/>
        <w:ind w:firstLine="640"/>
        <w:jc w:val="center"/>
        <w:rPr>
          <w:rFonts w:eastAsia="宋体"/>
          <w:szCs w:val="32"/>
        </w:rPr>
      </w:pPr>
      <w:r>
        <w:rPr>
          <w:rFonts w:hint="eastAsia" w:eastAsia="宋体"/>
          <w:szCs w:val="32"/>
        </w:rPr>
        <w:drawing>
          <wp:anchor distT="0" distB="0" distL="114300" distR="114300" simplePos="0" relativeHeight="251661312" behindDoc="1" locked="0" layoutInCell="1" allowOverlap="1">
            <wp:simplePos x="0" y="0"/>
            <wp:positionH relativeFrom="column">
              <wp:posOffset>-1612900</wp:posOffset>
            </wp:positionH>
            <wp:positionV relativeFrom="page">
              <wp:posOffset>2463165</wp:posOffset>
            </wp:positionV>
            <wp:extent cx="8952865" cy="5679440"/>
            <wp:effectExtent l="0" t="0" r="16510" b="635"/>
            <wp:wrapTight wrapText="bothSides">
              <wp:wrapPolygon>
                <wp:start x="21600" y="2"/>
                <wp:lineTo x="44" y="2"/>
                <wp:lineTo x="44" y="21520"/>
                <wp:lineTo x="21600" y="21520"/>
                <wp:lineTo x="21600" y="2"/>
              </wp:wrapPolygon>
            </wp:wrapTight>
            <wp:docPr id="5" name="图片 120" descr="工程设计乙级证书（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0" descr="工程设计乙级证书（正本）"/>
                    <pic:cNvPicPr>
                      <a:picLocks noChangeAspect="1"/>
                    </pic:cNvPicPr>
                  </pic:nvPicPr>
                  <pic:blipFill>
                    <a:blip r:embed="rId17"/>
                    <a:stretch>
                      <a:fillRect/>
                    </a:stretch>
                  </pic:blipFill>
                  <pic:spPr>
                    <a:xfrm rot="-5400000">
                      <a:off x="0" y="0"/>
                      <a:ext cx="8952865" cy="5679440"/>
                    </a:xfrm>
                    <a:prstGeom prst="rect">
                      <a:avLst/>
                    </a:prstGeom>
                    <a:noFill/>
                    <a:ln>
                      <a:noFill/>
                    </a:ln>
                  </pic:spPr>
                </pic:pic>
              </a:graphicData>
            </a:graphic>
          </wp:anchor>
        </w:drawing>
      </w:r>
    </w:p>
    <w:p>
      <w:pPr>
        <w:spacing w:line="480" w:lineRule="auto"/>
        <w:ind w:firstLine="640"/>
        <w:jc w:val="center"/>
        <w:rPr>
          <w:rFonts w:eastAsia="宋体"/>
          <w:szCs w:val="32"/>
        </w:rPr>
      </w:pPr>
      <w:r>
        <w:rPr>
          <w:rFonts w:hint="eastAsia" w:eastAsia="宋体"/>
          <w:szCs w:val="32"/>
        </w:rPr>
        <w:drawing>
          <wp:anchor distT="0" distB="0" distL="114300" distR="114300" simplePos="0" relativeHeight="251662336" behindDoc="1" locked="0" layoutInCell="1" allowOverlap="1">
            <wp:simplePos x="0" y="0"/>
            <wp:positionH relativeFrom="column">
              <wp:posOffset>18415</wp:posOffset>
            </wp:positionH>
            <wp:positionV relativeFrom="paragraph">
              <wp:posOffset>8255</wp:posOffset>
            </wp:positionV>
            <wp:extent cx="5721985" cy="8951595"/>
            <wp:effectExtent l="0" t="0" r="12065" b="1905"/>
            <wp:wrapTight wrapText="bothSides">
              <wp:wrapPolygon>
                <wp:start x="0" y="0"/>
                <wp:lineTo x="0" y="21559"/>
                <wp:lineTo x="21502" y="21559"/>
                <wp:lineTo x="21502" y="0"/>
                <wp:lineTo x="0" y="0"/>
              </wp:wrapPolygon>
            </wp:wrapTight>
            <wp:docPr id="6" name="图片 122" descr="质量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2" descr="质量体系认证"/>
                    <pic:cNvPicPr>
                      <a:picLocks noChangeAspect="1"/>
                    </pic:cNvPicPr>
                  </pic:nvPicPr>
                  <pic:blipFill>
                    <a:blip r:embed="rId18"/>
                    <a:stretch>
                      <a:fillRect/>
                    </a:stretch>
                  </pic:blipFill>
                  <pic:spPr>
                    <a:xfrm>
                      <a:off x="0" y="0"/>
                      <a:ext cx="5721985" cy="8951595"/>
                    </a:xfrm>
                    <a:prstGeom prst="rect">
                      <a:avLst/>
                    </a:prstGeom>
                    <a:noFill/>
                    <a:ln>
                      <a:noFill/>
                    </a:ln>
                  </pic:spPr>
                </pic:pic>
              </a:graphicData>
            </a:graphic>
          </wp:anchor>
        </w:drawing>
      </w:r>
    </w:p>
    <w:p>
      <w:pPr>
        <w:spacing w:line="480" w:lineRule="auto"/>
        <w:ind w:firstLine="640"/>
        <w:jc w:val="center"/>
        <w:rPr>
          <w:rFonts w:eastAsia="宋体"/>
          <w:szCs w:val="32"/>
        </w:rPr>
      </w:pPr>
      <w:r>
        <w:drawing>
          <wp:anchor distT="0" distB="0" distL="0" distR="0" simplePos="0" relativeHeight="251663360" behindDoc="0" locked="0" layoutInCell="1" allowOverlap="1">
            <wp:simplePos x="0" y="0"/>
            <wp:positionH relativeFrom="column">
              <wp:posOffset>35560</wp:posOffset>
            </wp:positionH>
            <wp:positionV relativeFrom="paragraph">
              <wp:posOffset>-21590</wp:posOffset>
            </wp:positionV>
            <wp:extent cx="5834380" cy="8942070"/>
            <wp:effectExtent l="0" t="0" r="13970" b="11430"/>
            <wp:wrapSquare wrapText="bothSides"/>
            <wp:docPr id="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3"/>
                    <pic:cNvPicPr>
                      <a:picLocks noChangeAspect="1"/>
                    </pic:cNvPicPr>
                  </pic:nvPicPr>
                  <pic:blipFill>
                    <a:blip r:embed="rId19"/>
                    <a:stretch>
                      <a:fillRect/>
                    </a:stretch>
                  </pic:blipFill>
                  <pic:spPr>
                    <a:xfrm>
                      <a:off x="0" y="0"/>
                      <a:ext cx="5834380" cy="8942070"/>
                    </a:xfrm>
                    <a:prstGeom prst="rect">
                      <a:avLst/>
                    </a:prstGeom>
                    <a:noFill/>
                    <a:ln>
                      <a:noFill/>
                    </a:ln>
                  </pic:spPr>
                </pic:pic>
              </a:graphicData>
            </a:graphic>
          </wp:anchor>
        </w:drawing>
      </w:r>
    </w:p>
    <w:p>
      <w:pPr>
        <w:ind w:firstLine="640"/>
      </w:pPr>
      <w:r>
        <w:drawing>
          <wp:anchor distT="0" distB="0" distL="114300" distR="114300" simplePos="0" relativeHeight="251664384" behindDoc="0" locked="0" layoutInCell="1" allowOverlap="1">
            <wp:simplePos x="0" y="0"/>
            <wp:positionH relativeFrom="column">
              <wp:posOffset>-15875</wp:posOffset>
            </wp:positionH>
            <wp:positionV relativeFrom="paragraph">
              <wp:posOffset>-8890</wp:posOffset>
            </wp:positionV>
            <wp:extent cx="5866130" cy="8919210"/>
            <wp:effectExtent l="0" t="0" r="1270" b="1524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0"/>
                    <a:stretch>
                      <a:fillRect/>
                    </a:stretch>
                  </pic:blipFill>
                  <pic:spPr>
                    <a:xfrm>
                      <a:off x="0" y="0"/>
                      <a:ext cx="5866130" cy="8919210"/>
                    </a:xfrm>
                    <a:prstGeom prst="rect">
                      <a:avLst/>
                    </a:prstGeom>
                    <a:noFill/>
                    <a:ln>
                      <a:noFill/>
                    </a:ln>
                  </pic:spPr>
                </pic:pic>
              </a:graphicData>
            </a:graphic>
          </wp:anchor>
        </w:drawing>
      </w:r>
    </w:p>
    <w:p>
      <w:pPr>
        <w:spacing w:line="480" w:lineRule="auto"/>
        <w:ind w:firstLine="640"/>
        <w:jc w:val="center"/>
        <w:rPr>
          <w:rFonts w:eastAsia="宋体"/>
          <w:szCs w:val="32"/>
        </w:rPr>
      </w:pPr>
      <w:r>
        <w:drawing>
          <wp:anchor distT="0" distB="0" distL="114300" distR="114300" simplePos="0" relativeHeight="251665408" behindDoc="0" locked="0" layoutInCell="1" allowOverlap="1">
            <wp:simplePos x="0" y="0"/>
            <wp:positionH relativeFrom="column">
              <wp:posOffset>16510</wp:posOffset>
            </wp:positionH>
            <wp:positionV relativeFrom="paragraph">
              <wp:posOffset>0</wp:posOffset>
            </wp:positionV>
            <wp:extent cx="5856605" cy="8921750"/>
            <wp:effectExtent l="0" t="0" r="10795" b="12700"/>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1"/>
                    <a:stretch>
                      <a:fillRect/>
                    </a:stretch>
                  </pic:blipFill>
                  <pic:spPr>
                    <a:xfrm>
                      <a:off x="0" y="0"/>
                      <a:ext cx="5856605" cy="8921750"/>
                    </a:xfrm>
                    <a:prstGeom prst="rect">
                      <a:avLst/>
                    </a:prstGeom>
                    <a:noFill/>
                    <a:ln>
                      <a:noFill/>
                    </a:ln>
                  </pic:spPr>
                </pic:pic>
              </a:graphicData>
            </a:graphic>
          </wp:anchor>
        </w:drawing>
      </w:r>
    </w:p>
    <w:p>
      <w:pPr>
        <w:pStyle w:val="11"/>
        <w:ind w:firstLine="0" w:firstLineChars="0"/>
        <w:outlineLvl w:val="9"/>
        <w:rPr>
          <w:rFonts w:ascii="黑体" w:hAnsi="黑体" w:eastAsia="黑体"/>
          <w:sz w:val="44"/>
          <w:szCs w:val="44"/>
        </w:rPr>
      </w:pPr>
      <w:bookmarkStart w:id="70" w:name="_Toc8730"/>
      <w:bookmarkStart w:id="71" w:name="_Toc18196"/>
      <w:bookmarkStart w:id="72" w:name="_Toc24044"/>
      <w:bookmarkStart w:id="73" w:name="_Toc4075"/>
      <w:bookmarkStart w:id="74" w:name="_Toc15295"/>
      <w:bookmarkStart w:id="75" w:name="_Toc614"/>
      <w:bookmarkStart w:id="76" w:name="_Toc17675"/>
      <w:r>
        <w:rPr>
          <w:rFonts w:hint="eastAsia" w:ascii="黑体" w:hAnsi="黑体" w:eastAsia="黑体"/>
          <w:sz w:val="44"/>
          <w:szCs w:val="44"/>
        </w:rPr>
        <w:t>三元区高标准农田建设专项规划</w:t>
      </w:r>
      <w:bookmarkEnd w:id="70"/>
      <w:bookmarkEnd w:id="71"/>
      <w:bookmarkEnd w:id="72"/>
      <w:bookmarkEnd w:id="73"/>
      <w:bookmarkEnd w:id="74"/>
      <w:bookmarkEnd w:id="75"/>
      <w:bookmarkEnd w:id="76"/>
    </w:p>
    <w:p>
      <w:pPr>
        <w:pStyle w:val="11"/>
        <w:ind w:firstLine="0" w:firstLineChars="0"/>
        <w:outlineLvl w:val="9"/>
        <w:rPr>
          <w:rFonts w:ascii="黑体" w:hAnsi="黑体" w:eastAsia="黑体"/>
          <w:sz w:val="44"/>
          <w:szCs w:val="44"/>
        </w:rPr>
      </w:pPr>
      <w:bookmarkStart w:id="77" w:name="_Toc8808"/>
      <w:bookmarkStart w:id="78" w:name="_Toc14153"/>
      <w:bookmarkStart w:id="79" w:name="_Toc32480"/>
      <w:bookmarkStart w:id="80" w:name="_Toc22222"/>
      <w:bookmarkStart w:id="81" w:name="_Toc30225"/>
      <w:bookmarkStart w:id="82" w:name="_Toc25874"/>
      <w:bookmarkStart w:id="83" w:name="_Toc11792"/>
      <w:r>
        <w:rPr>
          <w:rFonts w:hint="eastAsia" w:ascii="黑体" w:hAnsi="黑体" w:eastAsia="黑体"/>
          <w:sz w:val="44"/>
          <w:szCs w:val="44"/>
        </w:rPr>
        <w:t>（2021-2030年）</w:t>
      </w:r>
      <w:bookmarkEnd w:id="77"/>
      <w:bookmarkEnd w:id="78"/>
      <w:bookmarkEnd w:id="79"/>
      <w:bookmarkEnd w:id="80"/>
      <w:bookmarkEnd w:id="81"/>
      <w:bookmarkEnd w:id="82"/>
      <w:bookmarkEnd w:id="83"/>
    </w:p>
    <w:p>
      <w:pPr>
        <w:ind w:firstLine="0" w:firstLineChars="0"/>
        <w:jc w:val="center"/>
        <w:rPr>
          <w:rFonts w:hAnsi="黑体" w:eastAsia="黑体"/>
          <w:sz w:val="44"/>
          <w:szCs w:val="44"/>
        </w:rPr>
      </w:pPr>
    </w:p>
    <w:p>
      <w:pPr>
        <w:pStyle w:val="2"/>
        <w:ind w:left="632" w:firstLine="632"/>
      </w:pPr>
    </w:p>
    <w:p>
      <w:pPr>
        <w:ind w:firstLine="0" w:firstLineChars="0"/>
        <w:jc w:val="center"/>
        <w:rPr>
          <w:rFonts w:hAnsi="黑体" w:eastAsia="黑体"/>
          <w:sz w:val="44"/>
          <w:szCs w:val="44"/>
        </w:rPr>
      </w:pPr>
      <w:r>
        <w:rPr>
          <w:rFonts w:hint="eastAsia" w:hAnsi="黑体" w:eastAsia="黑体"/>
          <w:sz w:val="44"/>
          <w:szCs w:val="44"/>
        </w:rPr>
        <w:t>责任页</w:t>
      </w:r>
    </w:p>
    <w:p>
      <w:pPr>
        <w:ind w:firstLine="1104" w:firstLineChars="400"/>
        <w:rPr>
          <w:rFonts w:ascii="仿宋_GB2312" w:hAnsi="宋体"/>
          <w:sz w:val="28"/>
          <w:highlight w:val="yellow"/>
        </w:rPr>
      </w:pPr>
    </w:p>
    <w:p>
      <w:pPr>
        <w:pStyle w:val="2"/>
        <w:ind w:left="632" w:firstLine="632"/>
      </w:pPr>
    </w:p>
    <w:p>
      <w:pPr>
        <w:ind w:firstLine="1108" w:firstLineChars="400"/>
        <w:rPr>
          <w:sz w:val="28"/>
        </w:rPr>
      </w:pPr>
      <w:bookmarkStart w:id="84" w:name="_Toc26548"/>
      <w:r>
        <w:rPr>
          <w:rFonts w:hint="eastAsia"/>
          <w:b/>
          <w:sz w:val="28"/>
        </w:rPr>
        <w:t>项目名称：</w:t>
      </w:r>
      <w:r>
        <w:rPr>
          <w:rFonts w:hint="eastAsia"/>
          <w:sz w:val="28"/>
        </w:rPr>
        <w:t>三元区高标准农田建设专项规划（2021-2030年）</w:t>
      </w:r>
      <w:bookmarkEnd w:id="84"/>
    </w:p>
    <w:p>
      <w:pPr>
        <w:ind w:firstLine="1108" w:firstLineChars="400"/>
        <w:rPr>
          <w:sz w:val="28"/>
        </w:rPr>
      </w:pPr>
      <w:bookmarkStart w:id="85" w:name="_Toc9355"/>
      <w:r>
        <w:rPr>
          <w:rFonts w:hint="eastAsia"/>
          <w:b/>
          <w:sz w:val="28"/>
        </w:rPr>
        <w:t>建设单位：</w:t>
      </w:r>
      <w:r>
        <w:rPr>
          <w:rFonts w:hint="eastAsia"/>
          <w:sz w:val="28"/>
        </w:rPr>
        <w:t>三明市三元区农业农村局</w:t>
      </w:r>
      <w:bookmarkEnd w:id="85"/>
    </w:p>
    <w:p>
      <w:pPr>
        <w:ind w:firstLine="1108" w:firstLineChars="400"/>
        <w:rPr>
          <w:sz w:val="28"/>
        </w:rPr>
      </w:pPr>
      <w:bookmarkStart w:id="86" w:name="_Toc4525"/>
      <w:r>
        <w:rPr>
          <w:rFonts w:hint="eastAsia"/>
          <w:b/>
          <w:sz w:val="28"/>
        </w:rPr>
        <w:t>编制单位：</w:t>
      </w:r>
      <w:r>
        <w:rPr>
          <w:rFonts w:hint="eastAsia"/>
          <w:bCs/>
          <w:sz w:val="28"/>
        </w:rPr>
        <w:t>三</w:t>
      </w:r>
      <w:r>
        <w:rPr>
          <w:rFonts w:hint="eastAsia"/>
          <w:sz w:val="28"/>
        </w:rPr>
        <w:t>明市明兴水利水电勘察设计有限公司</w:t>
      </w:r>
      <w:bookmarkEnd w:id="86"/>
    </w:p>
    <w:p>
      <w:pPr>
        <w:ind w:firstLine="1104" w:firstLineChars="400"/>
        <w:rPr>
          <w:sz w:val="28"/>
        </w:rPr>
      </w:pPr>
    </w:p>
    <w:p>
      <w:pPr>
        <w:pStyle w:val="2"/>
        <w:ind w:left="632" w:firstLine="632"/>
      </w:pPr>
    </w:p>
    <w:p>
      <w:pPr>
        <w:ind w:firstLine="1104" w:firstLineChars="400"/>
        <w:rPr>
          <w:sz w:val="28"/>
        </w:rPr>
      </w:pPr>
      <w:r>
        <w:rPr>
          <w:rFonts w:hint="eastAsia"/>
          <w:sz w:val="28"/>
        </w:rPr>
        <w:t>批 准：苏  虎</w:t>
      </w:r>
      <w:r>
        <w:drawing>
          <wp:inline distT="0" distB="0" distL="114300" distR="114300">
            <wp:extent cx="595630" cy="325755"/>
            <wp:effectExtent l="0" t="0" r="13970" b="17145"/>
            <wp:docPr id="10" name="图片 1" descr="C:\Users\Administrator\AppData\Roaming\Tencent\Users\991267203\TIM\WinTemp\RichOle\@T`I7SWP`A`8@1[HG%FC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AppData\Roaming\Tencent\Users\991267203\TIM\WinTemp\RichOle\@T`I7SWP`A`8@1[HG%FCD$6.png"/>
                    <pic:cNvPicPr>
                      <a:picLocks noChangeAspect="1"/>
                    </pic:cNvPicPr>
                  </pic:nvPicPr>
                  <pic:blipFill>
                    <a:blip r:embed="rId22"/>
                    <a:stretch>
                      <a:fillRect/>
                    </a:stretch>
                  </pic:blipFill>
                  <pic:spPr>
                    <a:xfrm>
                      <a:off x="0" y="0"/>
                      <a:ext cx="595630" cy="325755"/>
                    </a:xfrm>
                    <a:prstGeom prst="rect">
                      <a:avLst/>
                    </a:prstGeom>
                    <a:noFill/>
                    <a:ln>
                      <a:noFill/>
                    </a:ln>
                  </pic:spPr>
                </pic:pic>
              </a:graphicData>
            </a:graphic>
          </wp:inline>
        </w:drawing>
      </w:r>
    </w:p>
    <w:p>
      <w:pPr>
        <w:ind w:firstLine="1104" w:firstLineChars="400"/>
        <w:rPr>
          <w:sz w:val="28"/>
        </w:rPr>
      </w:pPr>
    </w:p>
    <w:p>
      <w:pPr>
        <w:ind w:firstLine="1104" w:firstLineChars="400"/>
        <w:rPr>
          <w:sz w:val="28"/>
        </w:rPr>
      </w:pPr>
      <w:r>
        <w:rPr>
          <w:rFonts w:hint="eastAsia"/>
          <w:sz w:val="28"/>
        </w:rPr>
        <w:t>审 定：徐永滨</w:t>
      </w:r>
      <w:r>
        <w:drawing>
          <wp:inline distT="0" distB="0" distL="114300" distR="114300">
            <wp:extent cx="700405" cy="342900"/>
            <wp:effectExtent l="0" t="0" r="4445" b="0"/>
            <wp:docPr id="11" name="图片 2" descr="C:\Users\Administrator\AppData\Roaming\Tencent\Users\991267203\TIM\WinTemp\RichOle\DAQ`SO)@J0X6)FGME4}UX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strator\AppData\Roaming\Tencent\Users\991267203\TIM\WinTemp\RichOle\DAQ`SO)@J0X6)FGME4}UX4G.png"/>
                    <pic:cNvPicPr>
                      <a:picLocks noChangeAspect="1"/>
                    </pic:cNvPicPr>
                  </pic:nvPicPr>
                  <pic:blipFill>
                    <a:blip r:embed="rId23"/>
                    <a:stretch>
                      <a:fillRect/>
                    </a:stretch>
                  </pic:blipFill>
                  <pic:spPr>
                    <a:xfrm>
                      <a:off x="0" y="0"/>
                      <a:ext cx="700405" cy="342900"/>
                    </a:xfrm>
                    <a:prstGeom prst="rect">
                      <a:avLst/>
                    </a:prstGeom>
                    <a:noFill/>
                    <a:ln>
                      <a:noFill/>
                    </a:ln>
                  </pic:spPr>
                </pic:pic>
              </a:graphicData>
            </a:graphic>
          </wp:inline>
        </w:drawing>
      </w:r>
    </w:p>
    <w:p>
      <w:pPr>
        <w:ind w:firstLine="1104" w:firstLineChars="400"/>
        <w:rPr>
          <w:sz w:val="28"/>
        </w:rPr>
      </w:pPr>
    </w:p>
    <w:p>
      <w:pPr>
        <w:ind w:firstLine="1104" w:firstLineChars="400"/>
        <w:rPr>
          <w:sz w:val="28"/>
        </w:rPr>
      </w:pPr>
      <w:r>
        <w:rPr>
          <w:rFonts w:hint="eastAsia"/>
          <w:sz w:val="28"/>
        </w:rPr>
        <w:t>校 核：叶乔波</w:t>
      </w:r>
      <w:r>
        <w:drawing>
          <wp:inline distT="0" distB="0" distL="114300" distR="114300">
            <wp:extent cx="600710" cy="252095"/>
            <wp:effectExtent l="0" t="0" r="889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600710" cy="252095"/>
                    </a:xfrm>
                    <a:prstGeom prst="rect">
                      <a:avLst/>
                    </a:prstGeom>
                    <a:noFill/>
                    <a:ln>
                      <a:noFill/>
                    </a:ln>
                  </pic:spPr>
                </pic:pic>
              </a:graphicData>
            </a:graphic>
          </wp:inline>
        </w:drawing>
      </w:r>
    </w:p>
    <w:p>
      <w:pPr>
        <w:ind w:firstLine="1104" w:firstLineChars="400"/>
        <w:rPr>
          <w:sz w:val="28"/>
        </w:rPr>
      </w:pPr>
    </w:p>
    <w:p>
      <w:pPr>
        <w:ind w:firstLine="1104" w:firstLineChars="400"/>
        <w:rPr>
          <w:sz w:val="28"/>
        </w:rPr>
        <w:sectPr>
          <w:pgSz w:w="12020" w:h="16900"/>
          <w:pgMar w:top="1417" w:right="1417" w:bottom="1417" w:left="1417" w:header="850" w:footer="1019" w:gutter="0"/>
          <w:pgNumType w:start="1"/>
          <w:cols w:space="720" w:num="1"/>
        </w:sectPr>
      </w:pPr>
      <w:r>
        <w:rPr>
          <w:rFonts w:hint="eastAsia"/>
          <w:sz w:val="28"/>
        </w:rPr>
        <w:t>编 写：余成聪</w:t>
      </w:r>
      <w:r>
        <w:drawing>
          <wp:inline distT="0" distB="0" distL="114300" distR="114300">
            <wp:extent cx="741680" cy="332740"/>
            <wp:effectExtent l="0" t="0" r="1270" b="1016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5" cstate="print"/>
                    <a:stretch>
                      <a:fillRect/>
                    </a:stretch>
                  </pic:blipFill>
                  <pic:spPr>
                    <a:xfrm>
                      <a:off x="0" y="0"/>
                      <a:ext cx="741680" cy="332740"/>
                    </a:xfrm>
                    <a:prstGeom prst="rect">
                      <a:avLst/>
                    </a:prstGeom>
                    <a:noFill/>
                    <a:ln>
                      <a:noFill/>
                    </a:ln>
                  </pic:spPr>
                </pic:pic>
              </a:graphicData>
            </a:graphic>
          </wp:inline>
        </w:drawing>
      </w:r>
      <w:r>
        <w:rPr>
          <w:rFonts w:hint="eastAsia"/>
          <w:sz w:val="28"/>
        </w:rPr>
        <w:t xml:space="preserve">谢代乐 </w:t>
      </w:r>
      <w:r>
        <w:drawing>
          <wp:inline distT="0" distB="0" distL="114300" distR="114300">
            <wp:extent cx="611505" cy="290830"/>
            <wp:effectExtent l="0" t="0" r="17145"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6"/>
                    <a:stretch>
                      <a:fillRect/>
                    </a:stretch>
                  </pic:blipFill>
                  <pic:spPr>
                    <a:xfrm>
                      <a:off x="0" y="0"/>
                      <a:ext cx="611505" cy="290830"/>
                    </a:xfrm>
                    <a:prstGeom prst="rect">
                      <a:avLst/>
                    </a:prstGeom>
                    <a:noFill/>
                    <a:ln>
                      <a:noFill/>
                    </a:ln>
                  </pic:spPr>
                </pic:pic>
              </a:graphicData>
            </a:graphic>
          </wp:inline>
        </w:drawing>
      </w:r>
      <w:r>
        <w:rPr>
          <w:rFonts w:hint="eastAsia"/>
          <w:sz w:val="28"/>
        </w:rPr>
        <w:t>马铭利</w:t>
      </w:r>
      <w:r>
        <w:rPr>
          <w:rFonts w:hint="eastAsia"/>
          <w:sz w:val="28"/>
        </w:rPr>
        <w:drawing>
          <wp:inline distT="0" distB="0" distL="114300" distR="114300">
            <wp:extent cx="819785" cy="357505"/>
            <wp:effectExtent l="0" t="0" r="18415" b="4445"/>
            <wp:docPr id="16" name="图片 16" descr="ea5a146fab4edf21b5447304e3e5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a5a146fab4edf21b5447304e3e5e55"/>
                    <pic:cNvPicPr>
                      <a:picLocks noChangeAspect="1"/>
                    </pic:cNvPicPr>
                  </pic:nvPicPr>
                  <pic:blipFill>
                    <a:blip r:embed="rId27"/>
                    <a:stretch>
                      <a:fillRect/>
                    </a:stretch>
                  </pic:blipFill>
                  <pic:spPr>
                    <a:xfrm>
                      <a:off x="0" y="0"/>
                      <a:ext cx="819785" cy="357505"/>
                    </a:xfrm>
                    <a:prstGeom prst="rect">
                      <a:avLst/>
                    </a:prstGeom>
                  </pic:spPr>
                </pic:pic>
              </a:graphicData>
            </a:graphic>
          </wp:inline>
        </w:drawing>
      </w:r>
    </w:p>
    <w:sdt>
      <w:sdtPr>
        <w:rPr>
          <w:rFonts w:hint="eastAsia" w:ascii="仿宋" w:hAnsi="仿宋" w:eastAsia="仿宋" w:cs="仿宋"/>
          <w:b/>
          <w:bCs/>
          <w:sz w:val="44"/>
          <w:szCs w:val="44"/>
        </w:rPr>
        <w:id w:val="147461951"/>
        <w:docPartObj>
          <w:docPartGallery w:val="Table of Contents"/>
          <w:docPartUnique/>
        </w:docPartObj>
      </w:sdtPr>
      <w:sdtEndPr>
        <w:rPr>
          <w:rFonts w:hint="eastAsia" w:ascii="Times New Roman" w:hAnsi="Times New Roman" w:eastAsia="黑体" w:cs="Times New Roman"/>
          <w:b/>
          <w:bCs/>
          <w:sz w:val="44"/>
          <w:szCs w:val="32"/>
        </w:rPr>
      </w:sdtEndPr>
      <w:sdtContent>
        <w:p>
          <w:pPr>
            <w:spacing w:line="240" w:lineRule="auto"/>
            <w:ind w:firstLine="0" w:firstLineChars="0"/>
            <w:jc w:val="center"/>
            <w:outlineLvl w:val="0"/>
            <w:rPr>
              <w:rFonts w:ascii="仿宋" w:hAnsi="仿宋" w:eastAsia="仿宋" w:cs="仿宋"/>
              <w:b/>
              <w:bCs/>
              <w:sz w:val="44"/>
              <w:szCs w:val="44"/>
            </w:rPr>
          </w:pPr>
          <w:bookmarkStart w:id="87" w:name="_Toc15751"/>
          <w:bookmarkStart w:id="88" w:name="_Toc14249"/>
          <w:bookmarkStart w:id="89" w:name="_Toc16704"/>
          <w:bookmarkStart w:id="90" w:name="_Toc8862"/>
          <w:bookmarkStart w:id="91" w:name="_Toc26460"/>
          <w:bookmarkStart w:id="92" w:name="_Toc10640"/>
          <w:bookmarkStart w:id="93" w:name="_Toc655"/>
          <w:bookmarkStart w:id="94" w:name="_Toc18321"/>
          <w:bookmarkStart w:id="95" w:name="_Toc30247"/>
          <w:bookmarkStart w:id="96" w:name="_Toc15241"/>
          <w:r>
            <w:rPr>
              <w:rFonts w:hint="eastAsia" w:ascii="仿宋" w:hAnsi="仿宋" w:eastAsia="仿宋" w:cs="仿宋"/>
              <w:b/>
              <w:bCs/>
              <w:sz w:val="44"/>
              <w:szCs w:val="44"/>
            </w:rPr>
            <w:t>目录</w:t>
          </w:r>
          <w:bookmarkEnd w:id="87"/>
          <w:bookmarkEnd w:id="88"/>
          <w:bookmarkEnd w:id="89"/>
          <w:bookmarkEnd w:id="90"/>
        </w:p>
        <w:p>
          <w:pPr>
            <w:pStyle w:val="9"/>
            <w:tabs>
              <w:tab w:val="right" w:leader="dot" w:pos="9186"/>
            </w:tabs>
            <w:ind w:firstLine="640"/>
          </w:pPr>
          <w:r>
            <w:fldChar w:fldCharType="begin"/>
          </w:r>
          <w:r>
            <w:instrText xml:space="preserve">TOC \o "1-2" \h \u </w:instrText>
          </w:r>
          <w:r>
            <w:fldChar w:fldCharType="separate"/>
          </w:r>
          <w:r>
            <w:fldChar w:fldCharType="begin"/>
          </w:r>
          <w:r>
            <w:instrText xml:space="preserve"> HYPERLINK \l "_Toc1602" </w:instrText>
          </w:r>
          <w:r>
            <w:fldChar w:fldCharType="separate"/>
          </w:r>
          <w:r>
            <w:t>第一章</w:t>
          </w:r>
          <w:r>
            <w:rPr>
              <w:rFonts w:hint="eastAsia"/>
            </w:rPr>
            <w:t>建设</w:t>
          </w:r>
          <w:r>
            <w:t>形势</w:t>
          </w:r>
          <w:r>
            <w:tab/>
          </w:r>
          <w:r>
            <w:fldChar w:fldCharType="begin"/>
          </w:r>
          <w:r>
            <w:instrText xml:space="preserve"> PAGEREF _Toc1602 \h </w:instrText>
          </w:r>
          <w:r>
            <w:fldChar w:fldCharType="separate"/>
          </w:r>
          <w:r>
            <w:t>1</w:t>
          </w:r>
          <w:r>
            <w:fldChar w:fldCharType="end"/>
          </w:r>
          <w:r>
            <w:fldChar w:fldCharType="end"/>
          </w:r>
        </w:p>
        <w:p>
          <w:pPr>
            <w:pStyle w:val="10"/>
            <w:tabs>
              <w:tab w:val="right" w:leader="dot" w:pos="9186"/>
            </w:tabs>
            <w:ind w:left="632" w:firstLine="640"/>
          </w:pPr>
          <w:r>
            <w:fldChar w:fldCharType="begin"/>
          </w:r>
          <w:r>
            <w:instrText xml:space="preserve"> HYPERLINK \l "_Toc26352" </w:instrText>
          </w:r>
          <w:r>
            <w:fldChar w:fldCharType="separate"/>
          </w:r>
          <w:r>
            <w:rPr>
              <w:rFonts w:hint="eastAsia"/>
              <w:kern w:val="0"/>
            </w:rPr>
            <w:t>第一节高标准农田建设基本情况</w:t>
          </w:r>
          <w:r>
            <w:tab/>
          </w:r>
          <w:r>
            <w:fldChar w:fldCharType="begin"/>
          </w:r>
          <w:r>
            <w:instrText xml:space="preserve"> PAGEREF _Toc26352 \h </w:instrText>
          </w:r>
          <w:r>
            <w:fldChar w:fldCharType="separate"/>
          </w:r>
          <w:r>
            <w:t>1</w:t>
          </w:r>
          <w:r>
            <w:fldChar w:fldCharType="end"/>
          </w:r>
          <w:r>
            <w:fldChar w:fldCharType="end"/>
          </w:r>
        </w:p>
        <w:p>
          <w:pPr>
            <w:pStyle w:val="10"/>
            <w:tabs>
              <w:tab w:val="right" w:leader="dot" w:pos="9186"/>
            </w:tabs>
            <w:ind w:left="632" w:firstLine="640"/>
          </w:pPr>
          <w:r>
            <w:fldChar w:fldCharType="begin"/>
          </w:r>
          <w:r>
            <w:instrText xml:space="preserve"> HYPERLINK \l "_Toc30373" </w:instrText>
          </w:r>
          <w:r>
            <w:fldChar w:fldCharType="separate"/>
          </w:r>
          <w:r>
            <w:rPr>
              <w:rFonts w:hint="eastAsia"/>
              <w:kern w:val="0"/>
            </w:rPr>
            <w:t>第二节建设成效</w:t>
          </w:r>
          <w:r>
            <w:tab/>
          </w:r>
          <w:r>
            <w:fldChar w:fldCharType="begin"/>
          </w:r>
          <w:r>
            <w:instrText xml:space="preserve"> PAGEREF _Toc30373 \h </w:instrText>
          </w:r>
          <w:r>
            <w:fldChar w:fldCharType="separate"/>
          </w:r>
          <w:r>
            <w:t>2</w:t>
          </w:r>
          <w:r>
            <w:fldChar w:fldCharType="end"/>
          </w:r>
          <w:r>
            <w:fldChar w:fldCharType="end"/>
          </w:r>
        </w:p>
        <w:p>
          <w:pPr>
            <w:pStyle w:val="10"/>
            <w:tabs>
              <w:tab w:val="right" w:leader="dot" w:pos="9186"/>
            </w:tabs>
            <w:ind w:left="632" w:firstLine="640"/>
          </w:pPr>
          <w:r>
            <w:fldChar w:fldCharType="begin"/>
          </w:r>
          <w:r>
            <w:instrText xml:space="preserve"> HYPERLINK \l "_Toc30263" </w:instrText>
          </w:r>
          <w:r>
            <w:fldChar w:fldCharType="separate"/>
          </w:r>
          <w:r>
            <w:rPr>
              <w:kern w:val="0"/>
            </w:rPr>
            <w:t>第</w:t>
          </w:r>
          <w:r>
            <w:rPr>
              <w:rFonts w:hint="eastAsia"/>
              <w:kern w:val="0"/>
            </w:rPr>
            <w:t>三</w:t>
          </w:r>
          <w:r>
            <w:rPr>
              <w:kern w:val="0"/>
            </w:rPr>
            <w:t>节主要问题</w:t>
          </w:r>
          <w:r>
            <w:tab/>
          </w:r>
          <w:r>
            <w:fldChar w:fldCharType="begin"/>
          </w:r>
          <w:r>
            <w:instrText xml:space="preserve"> PAGEREF _Toc30263 \h </w:instrText>
          </w:r>
          <w:r>
            <w:fldChar w:fldCharType="separate"/>
          </w:r>
          <w:r>
            <w:t>4</w:t>
          </w:r>
          <w:r>
            <w:fldChar w:fldCharType="end"/>
          </w:r>
          <w:r>
            <w:fldChar w:fldCharType="end"/>
          </w:r>
        </w:p>
        <w:p>
          <w:pPr>
            <w:pStyle w:val="10"/>
            <w:tabs>
              <w:tab w:val="right" w:leader="dot" w:pos="9186"/>
            </w:tabs>
            <w:ind w:left="632" w:firstLine="640"/>
          </w:pPr>
          <w:r>
            <w:fldChar w:fldCharType="begin"/>
          </w:r>
          <w:r>
            <w:instrText xml:space="preserve"> HYPERLINK \l "_Toc24483" </w:instrText>
          </w:r>
          <w:r>
            <w:fldChar w:fldCharType="separate"/>
          </w:r>
          <w:r>
            <w:rPr>
              <w:kern w:val="0"/>
            </w:rPr>
            <w:t>第</w:t>
          </w:r>
          <w:r>
            <w:rPr>
              <w:rFonts w:hint="eastAsia"/>
              <w:kern w:val="0"/>
            </w:rPr>
            <w:t>四</w:t>
          </w:r>
          <w:r>
            <w:rPr>
              <w:kern w:val="0"/>
            </w:rPr>
            <w:t>节有利条件</w:t>
          </w:r>
          <w:r>
            <w:tab/>
          </w:r>
          <w:r>
            <w:fldChar w:fldCharType="begin"/>
          </w:r>
          <w:r>
            <w:instrText xml:space="preserve"> PAGEREF _Toc24483 \h </w:instrText>
          </w:r>
          <w:r>
            <w:fldChar w:fldCharType="separate"/>
          </w:r>
          <w:r>
            <w:t>8</w:t>
          </w:r>
          <w:r>
            <w:fldChar w:fldCharType="end"/>
          </w:r>
          <w:r>
            <w:fldChar w:fldCharType="end"/>
          </w:r>
        </w:p>
        <w:p>
          <w:pPr>
            <w:pStyle w:val="9"/>
            <w:tabs>
              <w:tab w:val="right" w:leader="dot" w:pos="9186"/>
            </w:tabs>
            <w:ind w:firstLine="640"/>
          </w:pPr>
          <w:r>
            <w:fldChar w:fldCharType="begin"/>
          </w:r>
          <w:r>
            <w:instrText xml:space="preserve"> HYPERLINK \l "_Toc20073" </w:instrText>
          </w:r>
          <w:r>
            <w:fldChar w:fldCharType="separate"/>
          </w:r>
          <w:r>
            <w:t>第二章总体</w:t>
          </w:r>
          <w:r>
            <w:rPr>
              <w:rFonts w:hint="eastAsia"/>
            </w:rPr>
            <w:t>要求</w:t>
          </w:r>
          <w:r>
            <w:tab/>
          </w:r>
          <w:r>
            <w:fldChar w:fldCharType="begin"/>
          </w:r>
          <w:r>
            <w:instrText xml:space="preserve"> PAGEREF _Toc20073 \h </w:instrText>
          </w:r>
          <w:r>
            <w:fldChar w:fldCharType="separate"/>
          </w:r>
          <w:r>
            <w:t>11</w:t>
          </w:r>
          <w:r>
            <w:fldChar w:fldCharType="end"/>
          </w:r>
          <w:r>
            <w:fldChar w:fldCharType="end"/>
          </w:r>
        </w:p>
        <w:p>
          <w:pPr>
            <w:pStyle w:val="10"/>
            <w:tabs>
              <w:tab w:val="right" w:leader="dot" w:pos="9186"/>
            </w:tabs>
            <w:ind w:left="632" w:firstLine="640"/>
          </w:pPr>
          <w:r>
            <w:fldChar w:fldCharType="begin"/>
          </w:r>
          <w:r>
            <w:instrText xml:space="preserve"> HYPERLINK \l "_Toc5802" </w:instrText>
          </w:r>
          <w:r>
            <w:fldChar w:fldCharType="separate"/>
          </w:r>
          <w:r>
            <w:rPr>
              <w:kern w:val="0"/>
            </w:rPr>
            <w:t>第一节指导思想</w:t>
          </w:r>
          <w:r>
            <w:tab/>
          </w:r>
          <w:r>
            <w:fldChar w:fldCharType="begin"/>
          </w:r>
          <w:r>
            <w:instrText xml:space="preserve"> PAGEREF _Toc5802 \h </w:instrText>
          </w:r>
          <w:r>
            <w:fldChar w:fldCharType="separate"/>
          </w:r>
          <w:r>
            <w:t>11</w:t>
          </w:r>
          <w:r>
            <w:fldChar w:fldCharType="end"/>
          </w:r>
          <w:r>
            <w:fldChar w:fldCharType="end"/>
          </w:r>
        </w:p>
        <w:p>
          <w:pPr>
            <w:pStyle w:val="10"/>
            <w:tabs>
              <w:tab w:val="right" w:leader="dot" w:pos="9186"/>
            </w:tabs>
            <w:ind w:left="632" w:firstLine="640"/>
          </w:pPr>
          <w:r>
            <w:fldChar w:fldCharType="begin"/>
          </w:r>
          <w:r>
            <w:instrText xml:space="preserve"> HYPERLINK \l "_Toc32540" </w:instrText>
          </w:r>
          <w:r>
            <w:fldChar w:fldCharType="separate"/>
          </w:r>
          <w:r>
            <w:rPr>
              <w:kern w:val="0"/>
            </w:rPr>
            <w:t>第二节</w:t>
          </w:r>
          <w:r>
            <w:rPr>
              <w:rFonts w:hint="eastAsia"/>
              <w:kern w:val="0"/>
            </w:rPr>
            <w:t>编制</w:t>
          </w:r>
          <w:r>
            <w:rPr>
              <w:kern w:val="0"/>
            </w:rPr>
            <w:t>原则</w:t>
          </w:r>
          <w:r>
            <w:tab/>
          </w:r>
          <w:r>
            <w:fldChar w:fldCharType="begin"/>
          </w:r>
          <w:r>
            <w:instrText xml:space="preserve"> PAGEREF _Toc32540 \h </w:instrText>
          </w:r>
          <w:r>
            <w:fldChar w:fldCharType="separate"/>
          </w:r>
          <w:r>
            <w:t>12</w:t>
          </w:r>
          <w:r>
            <w:fldChar w:fldCharType="end"/>
          </w:r>
          <w:r>
            <w:fldChar w:fldCharType="end"/>
          </w:r>
        </w:p>
        <w:p>
          <w:pPr>
            <w:pStyle w:val="10"/>
            <w:tabs>
              <w:tab w:val="right" w:leader="dot" w:pos="9186"/>
            </w:tabs>
            <w:ind w:left="632" w:firstLine="640"/>
          </w:pPr>
          <w:r>
            <w:fldChar w:fldCharType="begin"/>
          </w:r>
          <w:r>
            <w:instrText xml:space="preserve"> HYPERLINK \l "_Toc17747" </w:instrText>
          </w:r>
          <w:r>
            <w:fldChar w:fldCharType="separate"/>
          </w:r>
          <w:r>
            <w:rPr>
              <w:kern w:val="0"/>
            </w:rPr>
            <w:t>第三节</w:t>
          </w:r>
          <w:r>
            <w:rPr>
              <w:rFonts w:hint="eastAsia"/>
              <w:kern w:val="0"/>
            </w:rPr>
            <w:t>建设目标</w:t>
          </w:r>
          <w:r>
            <w:tab/>
          </w:r>
          <w:r>
            <w:fldChar w:fldCharType="begin"/>
          </w:r>
          <w:r>
            <w:instrText xml:space="preserve"> PAGEREF _Toc17747 \h </w:instrText>
          </w:r>
          <w:r>
            <w:fldChar w:fldCharType="separate"/>
          </w:r>
          <w:r>
            <w:t>13</w:t>
          </w:r>
          <w:r>
            <w:fldChar w:fldCharType="end"/>
          </w:r>
          <w:r>
            <w:fldChar w:fldCharType="end"/>
          </w:r>
        </w:p>
        <w:p>
          <w:pPr>
            <w:pStyle w:val="9"/>
            <w:tabs>
              <w:tab w:val="right" w:leader="dot" w:pos="9186"/>
            </w:tabs>
            <w:ind w:firstLine="640"/>
          </w:pPr>
          <w:r>
            <w:fldChar w:fldCharType="begin"/>
          </w:r>
          <w:r>
            <w:instrText xml:space="preserve"> HYPERLINK \l "_Toc27261" </w:instrText>
          </w:r>
          <w:r>
            <w:fldChar w:fldCharType="separate"/>
          </w:r>
          <w:r>
            <w:t>第</w:t>
          </w:r>
          <w:r>
            <w:rPr>
              <w:rFonts w:hint="eastAsia"/>
            </w:rPr>
            <w:t>三</w:t>
          </w:r>
          <w:r>
            <w:t>章建设</w:t>
          </w:r>
          <w:r>
            <w:rPr>
              <w:rFonts w:hint="eastAsia"/>
            </w:rPr>
            <w:t>内容</w:t>
          </w:r>
          <w:r>
            <w:t>和建设</w:t>
          </w:r>
          <w:r>
            <w:rPr>
              <w:rFonts w:hint="eastAsia"/>
            </w:rPr>
            <w:t>标准</w:t>
          </w:r>
          <w:r>
            <w:tab/>
          </w:r>
          <w:r>
            <w:fldChar w:fldCharType="begin"/>
          </w:r>
          <w:r>
            <w:instrText xml:space="preserve"> PAGEREF _Toc27261 \h </w:instrText>
          </w:r>
          <w:r>
            <w:fldChar w:fldCharType="separate"/>
          </w:r>
          <w:r>
            <w:t>17</w:t>
          </w:r>
          <w:r>
            <w:fldChar w:fldCharType="end"/>
          </w:r>
          <w:r>
            <w:fldChar w:fldCharType="end"/>
          </w:r>
        </w:p>
        <w:p>
          <w:pPr>
            <w:pStyle w:val="10"/>
            <w:tabs>
              <w:tab w:val="right" w:leader="dot" w:pos="9186"/>
            </w:tabs>
            <w:ind w:left="632" w:firstLine="640"/>
          </w:pPr>
          <w:r>
            <w:fldChar w:fldCharType="begin"/>
          </w:r>
          <w:r>
            <w:instrText xml:space="preserve"> HYPERLINK \l "_Toc28735" </w:instrText>
          </w:r>
          <w:r>
            <w:fldChar w:fldCharType="separate"/>
          </w:r>
          <w:r>
            <w:rPr>
              <w:kern w:val="0"/>
            </w:rPr>
            <w:t>第</w:t>
          </w:r>
          <w:r>
            <w:rPr>
              <w:rFonts w:hint="eastAsia"/>
              <w:kern w:val="0"/>
            </w:rPr>
            <w:t>一</w:t>
          </w:r>
          <w:r>
            <w:rPr>
              <w:kern w:val="0"/>
            </w:rPr>
            <w:t>节建设内容</w:t>
          </w:r>
          <w:r>
            <w:tab/>
          </w:r>
          <w:r>
            <w:fldChar w:fldCharType="begin"/>
          </w:r>
          <w:r>
            <w:instrText xml:space="preserve"> PAGEREF _Toc28735 \h </w:instrText>
          </w:r>
          <w:r>
            <w:fldChar w:fldCharType="separate"/>
          </w:r>
          <w:r>
            <w:t>17</w:t>
          </w:r>
          <w:r>
            <w:fldChar w:fldCharType="end"/>
          </w:r>
          <w:r>
            <w:fldChar w:fldCharType="end"/>
          </w:r>
        </w:p>
        <w:p>
          <w:pPr>
            <w:pStyle w:val="10"/>
            <w:tabs>
              <w:tab w:val="right" w:leader="dot" w:pos="9186"/>
            </w:tabs>
            <w:ind w:left="632" w:firstLine="640"/>
          </w:pPr>
          <w:r>
            <w:fldChar w:fldCharType="begin"/>
          </w:r>
          <w:r>
            <w:instrText xml:space="preserve"> HYPERLINK \l "_Toc10532" </w:instrText>
          </w:r>
          <w:r>
            <w:fldChar w:fldCharType="separate"/>
          </w:r>
          <w:r>
            <w:rPr>
              <w:kern w:val="0"/>
            </w:rPr>
            <w:t>第</w:t>
          </w:r>
          <w:r>
            <w:rPr>
              <w:rFonts w:hint="eastAsia"/>
              <w:kern w:val="0"/>
            </w:rPr>
            <w:t>二</w:t>
          </w:r>
          <w:r>
            <w:rPr>
              <w:kern w:val="0"/>
            </w:rPr>
            <w:t>节建设标准</w:t>
          </w:r>
          <w:r>
            <w:tab/>
          </w:r>
          <w:r>
            <w:fldChar w:fldCharType="begin"/>
          </w:r>
          <w:r>
            <w:instrText xml:space="preserve"> PAGEREF _Toc10532 \h </w:instrText>
          </w:r>
          <w:r>
            <w:fldChar w:fldCharType="separate"/>
          </w:r>
          <w:r>
            <w:t>23</w:t>
          </w:r>
          <w:r>
            <w:fldChar w:fldCharType="end"/>
          </w:r>
          <w:r>
            <w:fldChar w:fldCharType="end"/>
          </w:r>
        </w:p>
        <w:p>
          <w:pPr>
            <w:pStyle w:val="9"/>
            <w:tabs>
              <w:tab w:val="right" w:leader="dot" w:pos="9186"/>
            </w:tabs>
            <w:ind w:firstLine="640"/>
          </w:pPr>
          <w:r>
            <w:fldChar w:fldCharType="begin"/>
          </w:r>
          <w:r>
            <w:instrText xml:space="preserve"> HYPERLINK \l "_Toc25126" </w:instrText>
          </w:r>
          <w:r>
            <w:fldChar w:fldCharType="separate"/>
          </w:r>
          <w:r>
            <w:t>第</w:t>
          </w:r>
          <w:r>
            <w:rPr>
              <w:rFonts w:hint="eastAsia"/>
            </w:rPr>
            <w:t>四</w:t>
          </w:r>
          <w:r>
            <w:t>章</w:t>
          </w:r>
          <w:r>
            <w:rPr>
              <w:rFonts w:hint="eastAsia"/>
            </w:rPr>
            <w:t>空间布局与建设任务</w:t>
          </w:r>
          <w:r>
            <w:tab/>
          </w:r>
          <w:r>
            <w:fldChar w:fldCharType="begin"/>
          </w:r>
          <w:r>
            <w:instrText xml:space="preserve"> PAGEREF _Toc25126 \h </w:instrText>
          </w:r>
          <w:r>
            <w:fldChar w:fldCharType="separate"/>
          </w:r>
          <w:r>
            <w:t>27</w:t>
          </w:r>
          <w:r>
            <w:fldChar w:fldCharType="end"/>
          </w:r>
          <w:r>
            <w:fldChar w:fldCharType="end"/>
          </w:r>
        </w:p>
        <w:p>
          <w:pPr>
            <w:pStyle w:val="10"/>
            <w:tabs>
              <w:tab w:val="right" w:leader="dot" w:pos="9186"/>
            </w:tabs>
            <w:ind w:left="632" w:firstLine="640"/>
          </w:pPr>
          <w:r>
            <w:fldChar w:fldCharType="begin"/>
          </w:r>
          <w:r>
            <w:instrText xml:space="preserve"> HYPERLINK \l "_Toc1409" </w:instrText>
          </w:r>
          <w:r>
            <w:fldChar w:fldCharType="separate"/>
          </w:r>
          <w:r>
            <w:rPr>
              <w:bCs/>
              <w:kern w:val="0"/>
            </w:rPr>
            <w:t>第一节</w:t>
          </w:r>
          <w:r>
            <w:rPr>
              <w:rFonts w:hint="eastAsia"/>
              <w:bCs/>
              <w:kern w:val="0"/>
            </w:rPr>
            <w:t>区域布局与建设重点</w:t>
          </w:r>
          <w:r>
            <w:tab/>
          </w:r>
          <w:r>
            <w:fldChar w:fldCharType="begin"/>
          </w:r>
          <w:r>
            <w:instrText xml:space="preserve"> PAGEREF _Toc1409 \h </w:instrText>
          </w:r>
          <w:r>
            <w:fldChar w:fldCharType="separate"/>
          </w:r>
          <w:r>
            <w:t>27</w:t>
          </w:r>
          <w:r>
            <w:fldChar w:fldCharType="end"/>
          </w:r>
          <w:r>
            <w:fldChar w:fldCharType="end"/>
          </w:r>
        </w:p>
        <w:p>
          <w:pPr>
            <w:pStyle w:val="10"/>
            <w:tabs>
              <w:tab w:val="right" w:leader="dot" w:pos="9186"/>
            </w:tabs>
            <w:ind w:left="632" w:firstLine="640"/>
          </w:pPr>
          <w:r>
            <w:fldChar w:fldCharType="begin"/>
          </w:r>
          <w:r>
            <w:instrText xml:space="preserve"> HYPERLINK \l "_Toc1020" </w:instrText>
          </w:r>
          <w:r>
            <w:fldChar w:fldCharType="separate"/>
          </w:r>
          <w:r>
            <w:rPr>
              <w:bCs/>
              <w:kern w:val="0"/>
            </w:rPr>
            <w:t>第</w:t>
          </w:r>
          <w:r>
            <w:rPr>
              <w:rFonts w:hint="eastAsia"/>
              <w:bCs/>
              <w:kern w:val="0"/>
            </w:rPr>
            <w:t>二</w:t>
          </w:r>
          <w:r>
            <w:rPr>
              <w:bCs/>
              <w:kern w:val="0"/>
            </w:rPr>
            <w:t>节分区建设</w:t>
          </w:r>
          <w:r>
            <w:rPr>
              <w:rFonts w:hint="eastAsia"/>
              <w:bCs/>
              <w:kern w:val="0"/>
            </w:rPr>
            <w:t>重点</w:t>
          </w:r>
          <w:r>
            <w:tab/>
          </w:r>
          <w:r>
            <w:fldChar w:fldCharType="begin"/>
          </w:r>
          <w:r>
            <w:instrText xml:space="preserve"> PAGEREF _Toc1020 \h </w:instrText>
          </w:r>
          <w:r>
            <w:fldChar w:fldCharType="separate"/>
          </w:r>
          <w:r>
            <w:t>28</w:t>
          </w:r>
          <w:r>
            <w:fldChar w:fldCharType="end"/>
          </w:r>
          <w:r>
            <w:fldChar w:fldCharType="end"/>
          </w:r>
        </w:p>
        <w:p>
          <w:pPr>
            <w:pStyle w:val="10"/>
            <w:tabs>
              <w:tab w:val="right" w:leader="dot" w:pos="9186"/>
            </w:tabs>
            <w:ind w:left="632" w:firstLine="640"/>
          </w:pPr>
          <w:r>
            <w:fldChar w:fldCharType="begin"/>
          </w:r>
          <w:r>
            <w:instrText xml:space="preserve"> HYPERLINK \l "_Toc5079" </w:instrText>
          </w:r>
          <w:r>
            <w:fldChar w:fldCharType="separate"/>
          </w:r>
          <w:r>
            <w:rPr>
              <w:bCs/>
              <w:kern w:val="0"/>
            </w:rPr>
            <w:t>第</w:t>
          </w:r>
          <w:r>
            <w:rPr>
              <w:rFonts w:hint="eastAsia"/>
              <w:bCs/>
              <w:kern w:val="0"/>
            </w:rPr>
            <w:t>三</w:t>
          </w:r>
          <w:r>
            <w:rPr>
              <w:bCs/>
              <w:kern w:val="0"/>
            </w:rPr>
            <w:t>节分区</w:t>
          </w:r>
          <w:r>
            <w:rPr>
              <w:rFonts w:hint="eastAsia"/>
              <w:bCs/>
              <w:kern w:val="0"/>
            </w:rPr>
            <w:t>建设任务</w:t>
          </w:r>
          <w:r>
            <w:tab/>
          </w:r>
          <w:r>
            <w:fldChar w:fldCharType="begin"/>
          </w:r>
          <w:r>
            <w:instrText xml:space="preserve"> PAGEREF _Toc5079 \h </w:instrText>
          </w:r>
          <w:r>
            <w:fldChar w:fldCharType="separate"/>
          </w:r>
          <w:r>
            <w:t>31</w:t>
          </w:r>
          <w:r>
            <w:fldChar w:fldCharType="end"/>
          </w:r>
          <w:r>
            <w:fldChar w:fldCharType="end"/>
          </w:r>
        </w:p>
        <w:p>
          <w:pPr>
            <w:pStyle w:val="10"/>
            <w:tabs>
              <w:tab w:val="right" w:leader="dot" w:pos="9186"/>
            </w:tabs>
            <w:ind w:left="632" w:firstLine="640"/>
          </w:pPr>
          <w:r>
            <w:fldChar w:fldCharType="begin"/>
          </w:r>
          <w:r>
            <w:instrText xml:space="preserve"> HYPERLINK \l "_Toc13205" </w:instrText>
          </w:r>
          <w:r>
            <w:fldChar w:fldCharType="separate"/>
          </w:r>
          <w:r>
            <w:rPr>
              <w:bCs/>
              <w:kern w:val="0"/>
            </w:rPr>
            <w:t>第</w:t>
          </w:r>
          <w:r>
            <w:rPr>
              <w:rFonts w:hint="eastAsia"/>
              <w:bCs/>
              <w:kern w:val="0"/>
            </w:rPr>
            <w:t>四</w:t>
          </w:r>
          <w:r>
            <w:rPr>
              <w:bCs/>
              <w:kern w:val="0"/>
            </w:rPr>
            <w:t>节</w:t>
          </w:r>
          <w:r>
            <w:rPr>
              <w:rFonts w:hint="eastAsia"/>
              <w:bCs/>
              <w:kern w:val="0"/>
            </w:rPr>
            <w:t>各乡镇建设情况</w:t>
          </w:r>
          <w:r>
            <w:tab/>
          </w:r>
          <w:r>
            <w:fldChar w:fldCharType="begin"/>
          </w:r>
          <w:r>
            <w:instrText xml:space="preserve"> PAGEREF _Toc13205 \h </w:instrText>
          </w:r>
          <w:r>
            <w:fldChar w:fldCharType="separate"/>
          </w:r>
          <w:r>
            <w:t>33</w:t>
          </w:r>
          <w:r>
            <w:fldChar w:fldCharType="end"/>
          </w:r>
          <w:r>
            <w:fldChar w:fldCharType="end"/>
          </w:r>
        </w:p>
        <w:p>
          <w:pPr>
            <w:pStyle w:val="10"/>
            <w:tabs>
              <w:tab w:val="right" w:leader="dot" w:pos="9186"/>
            </w:tabs>
            <w:ind w:left="632" w:firstLine="640"/>
          </w:pPr>
          <w:r>
            <w:fldChar w:fldCharType="begin"/>
          </w:r>
          <w:r>
            <w:instrText xml:space="preserve"> HYPERLINK \l "_Toc21210" </w:instrText>
          </w:r>
          <w:r>
            <w:fldChar w:fldCharType="separate"/>
          </w:r>
          <w:r>
            <w:rPr>
              <w:bCs/>
              <w:kern w:val="0"/>
            </w:rPr>
            <w:t>第</w:t>
          </w:r>
          <w:r>
            <w:rPr>
              <w:rFonts w:hint="eastAsia"/>
              <w:bCs/>
              <w:kern w:val="0"/>
            </w:rPr>
            <w:t>五</w:t>
          </w:r>
          <w:r>
            <w:rPr>
              <w:bCs/>
              <w:kern w:val="0"/>
            </w:rPr>
            <w:t>节</w:t>
          </w:r>
          <w:r>
            <w:rPr>
              <w:rFonts w:hint="eastAsia"/>
              <w:bCs/>
              <w:kern w:val="0"/>
            </w:rPr>
            <w:t>重点工程</w:t>
          </w:r>
          <w:r>
            <w:tab/>
          </w:r>
          <w:r>
            <w:fldChar w:fldCharType="begin"/>
          </w:r>
          <w:r>
            <w:instrText xml:space="preserve"> PAGEREF _Toc21210 \h </w:instrText>
          </w:r>
          <w:r>
            <w:fldChar w:fldCharType="separate"/>
          </w:r>
          <w:r>
            <w:t>43</w:t>
          </w:r>
          <w:r>
            <w:fldChar w:fldCharType="end"/>
          </w:r>
          <w:r>
            <w:fldChar w:fldCharType="end"/>
          </w:r>
        </w:p>
        <w:p>
          <w:pPr>
            <w:pStyle w:val="9"/>
            <w:tabs>
              <w:tab w:val="right" w:leader="dot" w:pos="9186"/>
            </w:tabs>
            <w:ind w:firstLine="640"/>
          </w:pPr>
          <w:r>
            <w:fldChar w:fldCharType="begin"/>
          </w:r>
          <w:r>
            <w:instrText xml:space="preserve"> HYPERLINK \l "_Toc29757" </w:instrText>
          </w:r>
          <w:r>
            <w:fldChar w:fldCharType="separate"/>
          </w:r>
          <w:r>
            <w:t>第</w:t>
          </w:r>
          <w:r>
            <w:rPr>
              <w:rFonts w:hint="eastAsia"/>
            </w:rPr>
            <w:t>五</w:t>
          </w:r>
          <w:r>
            <w:t>章建设监管</w:t>
          </w:r>
          <w:r>
            <w:rPr>
              <w:rFonts w:hint="eastAsia"/>
            </w:rPr>
            <w:t>和后续管护</w:t>
          </w:r>
          <w:r>
            <w:tab/>
          </w:r>
          <w:r>
            <w:fldChar w:fldCharType="begin"/>
          </w:r>
          <w:r>
            <w:instrText xml:space="preserve"> PAGEREF _Toc29757 \h </w:instrText>
          </w:r>
          <w:r>
            <w:fldChar w:fldCharType="separate"/>
          </w:r>
          <w:r>
            <w:t>46</w:t>
          </w:r>
          <w:r>
            <w:fldChar w:fldCharType="end"/>
          </w:r>
          <w:r>
            <w:fldChar w:fldCharType="end"/>
          </w:r>
        </w:p>
        <w:p>
          <w:pPr>
            <w:pStyle w:val="10"/>
            <w:tabs>
              <w:tab w:val="right" w:leader="dot" w:pos="9186"/>
            </w:tabs>
            <w:ind w:left="632" w:firstLine="640"/>
          </w:pPr>
          <w:r>
            <w:fldChar w:fldCharType="begin"/>
          </w:r>
          <w:r>
            <w:instrText xml:space="preserve"> HYPERLINK \l "_Toc25194" </w:instrText>
          </w:r>
          <w:r>
            <w:fldChar w:fldCharType="separate"/>
          </w:r>
          <w:r>
            <w:rPr>
              <w:rFonts w:hint="eastAsia"/>
              <w:bCs/>
              <w:kern w:val="0"/>
            </w:rPr>
            <w:t>第一节</w:t>
          </w:r>
          <w:r>
            <w:rPr>
              <w:bCs/>
              <w:kern w:val="0"/>
            </w:rPr>
            <w:t>质量管理</w:t>
          </w:r>
          <w:r>
            <w:tab/>
          </w:r>
          <w:r>
            <w:fldChar w:fldCharType="begin"/>
          </w:r>
          <w:r>
            <w:instrText xml:space="preserve"> PAGEREF _Toc25194 \h </w:instrText>
          </w:r>
          <w:r>
            <w:fldChar w:fldCharType="separate"/>
          </w:r>
          <w:r>
            <w:t>46</w:t>
          </w:r>
          <w:r>
            <w:fldChar w:fldCharType="end"/>
          </w:r>
          <w:r>
            <w:fldChar w:fldCharType="end"/>
          </w:r>
        </w:p>
        <w:p>
          <w:pPr>
            <w:pStyle w:val="10"/>
            <w:tabs>
              <w:tab w:val="right" w:leader="dot" w:pos="9186"/>
            </w:tabs>
            <w:ind w:left="632" w:firstLine="640"/>
          </w:pPr>
          <w:r>
            <w:fldChar w:fldCharType="begin"/>
          </w:r>
          <w:r>
            <w:instrText xml:space="preserve"> HYPERLINK \l "_Toc28945" </w:instrText>
          </w:r>
          <w:r>
            <w:fldChar w:fldCharType="separate"/>
          </w:r>
          <w:r>
            <w:rPr>
              <w:rFonts w:hint="eastAsia"/>
              <w:bCs/>
              <w:kern w:val="0"/>
            </w:rPr>
            <w:t>第二节上图入库</w:t>
          </w:r>
          <w:r>
            <w:tab/>
          </w:r>
          <w:r>
            <w:fldChar w:fldCharType="begin"/>
          </w:r>
          <w:r>
            <w:instrText xml:space="preserve"> PAGEREF _Toc28945 \h </w:instrText>
          </w:r>
          <w:r>
            <w:fldChar w:fldCharType="separate"/>
          </w:r>
          <w:r>
            <w:t>47</w:t>
          </w:r>
          <w:r>
            <w:fldChar w:fldCharType="end"/>
          </w:r>
          <w:r>
            <w:fldChar w:fldCharType="end"/>
          </w:r>
        </w:p>
        <w:p>
          <w:pPr>
            <w:pStyle w:val="10"/>
            <w:tabs>
              <w:tab w:val="right" w:leader="dot" w:pos="9186"/>
            </w:tabs>
            <w:ind w:left="632" w:firstLine="640"/>
          </w:pPr>
          <w:r>
            <w:fldChar w:fldCharType="begin"/>
          </w:r>
          <w:r>
            <w:instrText xml:space="preserve"> HYPERLINK \l "_Toc2310" </w:instrText>
          </w:r>
          <w:r>
            <w:fldChar w:fldCharType="separate"/>
          </w:r>
          <w:r>
            <w:rPr>
              <w:rFonts w:hint="eastAsia"/>
              <w:bCs/>
              <w:kern w:val="0"/>
            </w:rPr>
            <w:t>第三节</w:t>
          </w:r>
          <w:r>
            <w:rPr>
              <w:bCs/>
              <w:kern w:val="0"/>
            </w:rPr>
            <w:t>竣工验收</w:t>
          </w:r>
          <w:r>
            <w:tab/>
          </w:r>
          <w:r>
            <w:fldChar w:fldCharType="begin"/>
          </w:r>
          <w:r>
            <w:instrText xml:space="preserve"> PAGEREF _Toc2310 \h </w:instrText>
          </w:r>
          <w:r>
            <w:fldChar w:fldCharType="separate"/>
          </w:r>
          <w:r>
            <w:t>47</w:t>
          </w:r>
          <w:r>
            <w:fldChar w:fldCharType="end"/>
          </w:r>
          <w:r>
            <w:fldChar w:fldCharType="end"/>
          </w:r>
        </w:p>
        <w:p>
          <w:pPr>
            <w:pStyle w:val="10"/>
            <w:tabs>
              <w:tab w:val="right" w:leader="dot" w:pos="9186"/>
            </w:tabs>
            <w:ind w:left="632" w:firstLine="640"/>
          </w:pPr>
          <w:r>
            <w:fldChar w:fldCharType="begin"/>
          </w:r>
          <w:r>
            <w:instrText xml:space="preserve"> HYPERLINK \l "_Toc18206" </w:instrText>
          </w:r>
          <w:r>
            <w:fldChar w:fldCharType="separate"/>
          </w:r>
          <w:r>
            <w:rPr>
              <w:rFonts w:hint="eastAsia"/>
              <w:bCs/>
              <w:kern w:val="0"/>
            </w:rPr>
            <w:t>第四节工程移交</w:t>
          </w:r>
          <w:r>
            <w:tab/>
          </w:r>
          <w:r>
            <w:fldChar w:fldCharType="begin"/>
          </w:r>
          <w:r>
            <w:instrText xml:space="preserve"> PAGEREF _Toc18206 \h </w:instrText>
          </w:r>
          <w:r>
            <w:fldChar w:fldCharType="separate"/>
          </w:r>
          <w:r>
            <w:t>50</w:t>
          </w:r>
          <w:r>
            <w:fldChar w:fldCharType="end"/>
          </w:r>
          <w:r>
            <w:fldChar w:fldCharType="end"/>
          </w:r>
        </w:p>
        <w:p>
          <w:pPr>
            <w:pStyle w:val="10"/>
            <w:tabs>
              <w:tab w:val="right" w:leader="dot" w:pos="9186"/>
            </w:tabs>
            <w:ind w:left="632" w:firstLine="640"/>
          </w:pPr>
          <w:r>
            <w:fldChar w:fldCharType="begin"/>
          </w:r>
          <w:r>
            <w:instrText xml:space="preserve"> HYPERLINK \l "_Toc17892" </w:instrText>
          </w:r>
          <w:r>
            <w:fldChar w:fldCharType="separate"/>
          </w:r>
          <w:r>
            <w:rPr>
              <w:kern w:val="0"/>
            </w:rPr>
            <w:t>第</w:t>
          </w:r>
          <w:r>
            <w:rPr>
              <w:rFonts w:hint="eastAsia"/>
              <w:kern w:val="0"/>
            </w:rPr>
            <w:t>五</w:t>
          </w:r>
          <w:r>
            <w:rPr>
              <w:kern w:val="0"/>
            </w:rPr>
            <w:t>节管护标准</w:t>
          </w:r>
          <w:r>
            <w:tab/>
          </w:r>
          <w:r>
            <w:fldChar w:fldCharType="begin"/>
          </w:r>
          <w:r>
            <w:instrText xml:space="preserve"> PAGEREF _Toc17892 \h </w:instrText>
          </w:r>
          <w:r>
            <w:fldChar w:fldCharType="separate"/>
          </w:r>
          <w:r>
            <w:t>50</w:t>
          </w:r>
          <w:r>
            <w:fldChar w:fldCharType="end"/>
          </w:r>
          <w:r>
            <w:fldChar w:fldCharType="end"/>
          </w:r>
        </w:p>
        <w:p>
          <w:pPr>
            <w:pStyle w:val="10"/>
            <w:tabs>
              <w:tab w:val="right" w:leader="dot" w:pos="9186"/>
            </w:tabs>
            <w:ind w:left="632" w:firstLine="640"/>
          </w:pPr>
          <w:r>
            <w:fldChar w:fldCharType="begin"/>
          </w:r>
          <w:r>
            <w:instrText xml:space="preserve"> HYPERLINK \l "_Toc32151" </w:instrText>
          </w:r>
          <w:r>
            <w:fldChar w:fldCharType="separate"/>
          </w:r>
          <w:r>
            <w:rPr>
              <w:kern w:val="0"/>
            </w:rPr>
            <w:t>第</w:t>
          </w:r>
          <w:r>
            <w:rPr>
              <w:rFonts w:hint="eastAsia"/>
              <w:kern w:val="0"/>
            </w:rPr>
            <w:t>六</w:t>
          </w:r>
          <w:r>
            <w:rPr>
              <w:kern w:val="0"/>
            </w:rPr>
            <w:t>节管护主体</w:t>
          </w:r>
          <w:r>
            <w:tab/>
          </w:r>
          <w:r>
            <w:fldChar w:fldCharType="begin"/>
          </w:r>
          <w:r>
            <w:instrText xml:space="preserve"> PAGEREF _Toc32151 \h </w:instrText>
          </w:r>
          <w:r>
            <w:fldChar w:fldCharType="separate"/>
          </w:r>
          <w:r>
            <w:t>52</w:t>
          </w:r>
          <w:r>
            <w:fldChar w:fldCharType="end"/>
          </w:r>
          <w:r>
            <w:fldChar w:fldCharType="end"/>
          </w:r>
        </w:p>
        <w:p>
          <w:pPr>
            <w:pStyle w:val="10"/>
            <w:tabs>
              <w:tab w:val="right" w:leader="dot" w:pos="9186"/>
            </w:tabs>
            <w:ind w:left="632" w:firstLine="640"/>
          </w:pPr>
          <w:r>
            <w:fldChar w:fldCharType="begin"/>
          </w:r>
          <w:r>
            <w:instrText xml:space="preserve"> HYPERLINK \l "_Toc23772" </w:instrText>
          </w:r>
          <w:r>
            <w:fldChar w:fldCharType="separate"/>
          </w:r>
          <w:r>
            <w:rPr>
              <w:kern w:val="0"/>
            </w:rPr>
            <w:t>第</w:t>
          </w:r>
          <w:r>
            <w:rPr>
              <w:rFonts w:hint="eastAsia"/>
              <w:kern w:val="0"/>
            </w:rPr>
            <w:t>七</w:t>
          </w:r>
          <w:r>
            <w:rPr>
              <w:kern w:val="0"/>
            </w:rPr>
            <w:t>节管护任务</w:t>
          </w:r>
          <w:r>
            <w:tab/>
          </w:r>
          <w:r>
            <w:fldChar w:fldCharType="begin"/>
          </w:r>
          <w:r>
            <w:instrText xml:space="preserve"> PAGEREF _Toc23772 \h </w:instrText>
          </w:r>
          <w:r>
            <w:fldChar w:fldCharType="separate"/>
          </w:r>
          <w:r>
            <w:t>52</w:t>
          </w:r>
          <w:r>
            <w:fldChar w:fldCharType="end"/>
          </w:r>
          <w:r>
            <w:fldChar w:fldCharType="end"/>
          </w:r>
        </w:p>
        <w:p>
          <w:pPr>
            <w:pStyle w:val="10"/>
            <w:tabs>
              <w:tab w:val="right" w:leader="dot" w:pos="9186"/>
            </w:tabs>
            <w:ind w:left="632" w:firstLine="640"/>
          </w:pPr>
          <w:r>
            <w:fldChar w:fldCharType="begin"/>
          </w:r>
          <w:r>
            <w:instrText xml:space="preserve"> HYPERLINK \l "_Toc1187" </w:instrText>
          </w:r>
          <w:r>
            <w:fldChar w:fldCharType="separate"/>
          </w:r>
          <w:r>
            <w:rPr>
              <w:kern w:val="0"/>
            </w:rPr>
            <w:t>第</w:t>
          </w:r>
          <w:r>
            <w:rPr>
              <w:rFonts w:hint="eastAsia"/>
              <w:kern w:val="0"/>
            </w:rPr>
            <w:t>八</w:t>
          </w:r>
          <w:r>
            <w:rPr>
              <w:kern w:val="0"/>
            </w:rPr>
            <w:t>节管护考核</w:t>
          </w:r>
          <w:r>
            <w:tab/>
          </w:r>
          <w:r>
            <w:fldChar w:fldCharType="begin"/>
          </w:r>
          <w:r>
            <w:instrText xml:space="preserve"> PAGEREF _Toc1187 \h </w:instrText>
          </w:r>
          <w:r>
            <w:fldChar w:fldCharType="separate"/>
          </w:r>
          <w:r>
            <w:t>54</w:t>
          </w:r>
          <w:r>
            <w:fldChar w:fldCharType="end"/>
          </w:r>
          <w:r>
            <w:fldChar w:fldCharType="end"/>
          </w:r>
        </w:p>
        <w:p>
          <w:pPr>
            <w:pStyle w:val="9"/>
            <w:tabs>
              <w:tab w:val="right" w:leader="dot" w:pos="9186"/>
            </w:tabs>
            <w:ind w:firstLine="640"/>
          </w:pPr>
          <w:r>
            <w:fldChar w:fldCharType="begin"/>
          </w:r>
          <w:r>
            <w:instrText xml:space="preserve"> HYPERLINK \l "_Toc29311" </w:instrText>
          </w:r>
          <w:r>
            <w:fldChar w:fldCharType="separate"/>
          </w:r>
          <w:r>
            <w:t>第</w:t>
          </w:r>
          <w:r>
            <w:rPr>
              <w:rFonts w:hint="eastAsia"/>
            </w:rPr>
            <w:t>六</w:t>
          </w:r>
          <w:r>
            <w:t>章</w:t>
          </w:r>
          <w:r>
            <w:rPr>
              <w:rFonts w:hint="eastAsia"/>
            </w:rPr>
            <w:t>投资估算和资金筹措</w:t>
          </w:r>
          <w:r>
            <w:tab/>
          </w:r>
          <w:r>
            <w:fldChar w:fldCharType="begin"/>
          </w:r>
          <w:r>
            <w:instrText xml:space="preserve"> PAGEREF _Toc29311 \h </w:instrText>
          </w:r>
          <w:r>
            <w:fldChar w:fldCharType="separate"/>
          </w:r>
          <w:r>
            <w:t>55</w:t>
          </w:r>
          <w:r>
            <w:fldChar w:fldCharType="end"/>
          </w:r>
          <w:r>
            <w:fldChar w:fldCharType="end"/>
          </w:r>
        </w:p>
        <w:p>
          <w:pPr>
            <w:pStyle w:val="10"/>
            <w:tabs>
              <w:tab w:val="right" w:leader="dot" w:pos="9186"/>
            </w:tabs>
            <w:ind w:left="632" w:firstLine="640"/>
          </w:pPr>
          <w:r>
            <w:fldChar w:fldCharType="begin"/>
          </w:r>
          <w:r>
            <w:instrText xml:space="preserve"> HYPERLINK \l "_Toc6021" </w:instrText>
          </w:r>
          <w:r>
            <w:fldChar w:fldCharType="separate"/>
          </w:r>
          <w:r>
            <w:rPr>
              <w:rFonts w:hint="eastAsia"/>
              <w:bCs/>
              <w:kern w:val="0"/>
            </w:rPr>
            <w:t>第一节投资估算</w:t>
          </w:r>
          <w:r>
            <w:tab/>
          </w:r>
          <w:r>
            <w:fldChar w:fldCharType="begin"/>
          </w:r>
          <w:r>
            <w:instrText xml:space="preserve"> PAGEREF _Toc6021 \h </w:instrText>
          </w:r>
          <w:r>
            <w:fldChar w:fldCharType="separate"/>
          </w:r>
          <w:r>
            <w:t>55</w:t>
          </w:r>
          <w:r>
            <w:fldChar w:fldCharType="end"/>
          </w:r>
          <w:r>
            <w:fldChar w:fldCharType="end"/>
          </w:r>
        </w:p>
        <w:p>
          <w:pPr>
            <w:pStyle w:val="10"/>
            <w:tabs>
              <w:tab w:val="right" w:leader="dot" w:pos="9186"/>
            </w:tabs>
            <w:ind w:left="632" w:firstLine="640"/>
          </w:pPr>
          <w:r>
            <w:fldChar w:fldCharType="begin"/>
          </w:r>
          <w:r>
            <w:instrText xml:space="preserve"> HYPERLINK \l "_Toc16916" </w:instrText>
          </w:r>
          <w:r>
            <w:fldChar w:fldCharType="separate"/>
          </w:r>
          <w:r>
            <w:rPr>
              <w:rFonts w:hint="eastAsia"/>
              <w:bCs/>
              <w:kern w:val="0"/>
            </w:rPr>
            <w:t>第二节资金筹措</w:t>
          </w:r>
          <w:r>
            <w:tab/>
          </w:r>
          <w:r>
            <w:fldChar w:fldCharType="begin"/>
          </w:r>
          <w:r>
            <w:instrText xml:space="preserve"> PAGEREF _Toc16916 \h </w:instrText>
          </w:r>
          <w:r>
            <w:fldChar w:fldCharType="separate"/>
          </w:r>
          <w:r>
            <w:t>56</w:t>
          </w:r>
          <w:r>
            <w:fldChar w:fldCharType="end"/>
          </w:r>
          <w:r>
            <w:fldChar w:fldCharType="end"/>
          </w:r>
        </w:p>
        <w:p>
          <w:pPr>
            <w:pStyle w:val="9"/>
            <w:tabs>
              <w:tab w:val="right" w:leader="dot" w:pos="9186"/>
            </w:tabs>
            <w:ind w:firstLine="640"/>
          </w:pPr>
          <w:r>
            <w:fldChar w:fldCharType="begin"/>
          </w:r>
          <w:r>
            <w:instrText xml:space="preserve"> HYPERLINK \l "_Toc1334" </w:instrText>
          </w:r>
          <w:r>
            <w:fldChar w:fldCharType="separate"/>
          </w:r>
          <w:r>
            <w:t>第</w:t>
          </w:r>
          <w:r>
            <w:rPr>
              <w:rFonts w:hint="eastAsia"/>
            </w:rPr>
            <w:t>七</w:t>
          </w:r>
          <w:r>
            <w:t>章</w:t>
          </w:r>
          <w:r>
            <w:rPr>
              <w:rFonts w:hint="eastAsia"/>
            </w:rPr>
            <w:t>效益分析</w:t>
          </w:r>
          <w:r>
            <w:tab/>
          </w:r>
          <w:r>
            <w:fldChar w:fldCharType="begin"/>
          </w:r>
          <w:r>
            <w:instrText xml:space="preserve"> PAGEREF _Toc1334 \h </w:instrText>
          </w:r>
          <w:r>
            <w:fldChar w:fldCharType="separate"/>
          </w:r>
          <w:r>
            <w:t>58</w:t>
          </w:r>
          <w:r>
            <w:fldChar w:fldCharType="end"/>
          </w:r>
          <w:r>
            <w:fldChar w:fldCharType="end"/>
          </w:r>
        </w:p>
        <w:p>
          <w:pPr>
            <w:pStyle w:val="10"/>
            <w:tabs>
              <w:tab w:val="right" w:leader="dot" w:pos="9186"/>
            </w:tabs>
            <w:ind w:left="632" w:firstLine="640"/>
          </w:pPr>
          <w:r>
            <w:fldChar w:fldCharType="begin"/>
          </w:r>
          <w:r>
            <w:instrText xml:space="preserve"> HYPERLINK \l "_Toc1105" </w:instrText>
          </w:r>
          <w:r>
            <w:fldChar w:fldCharType="separate"/>
          </w:r>
          <w:r>
            <w:rPr>
              <w:kern w:val="0"/>
            </w:rPr>
            <w:t>第一节经济效益</w:t>
          </w:r>
          <w:r>
            <w:tab/>
          </w:r>
          <w:r>
            <w:fldChar w:fldCharType="begin"/>
          </w:r>
          <w:r>
            <w:instrText xml:space="preserve"> PAGEREF _Toc1105 \h </w:instrText>
          </w:r>
          <w:r>
            <w:fldChar w:fldCharType="separate"/>
          </w:r>
          <w:r>
            <w:t>58</w:t>
          </w:r>
          <w:r>
            <w:fldChar w:fldCharType="end"/>
          </w:r>
          <w:r>
            <w:fldChar w:fldCharType="end"/>
          </w:r>
        </w:p>
        <w:p>
          <w:pPr>
            <w:pStyle w:val="10"/>
            <w:tabs>
              <w:tab w:val="right" w:leader="dot" w:pos="9186"/>
            </w:tabs>
            <w:ind w:left="632" w:firstLine="640"/>
          </w:pPr>
          <w:r>
            <w:fldChar w:fldCharType="begin"/>
          </w:r>
          <w:r>
            <w:instrText xml:space="preserve"> HYPERLINK \l "_Toc15020" </w:instrText>
          </w:r>
          <w:r>
            <w:fldChar w:fldCharType="separate"/>
          </w:r>
          <w:r>
            <w:rPr>
              <w:kern w:val="0"/>
            </w:rPr>
            <w:t>第二节社会效益</w:t>
          </w:r>
          <w:r>
            <w:tab/>
          </w:r>
          <w:r>
            <w:fldChar w:fldCharType="begin"/>
          </w:r>
          <w:r>
            <w:instrText xml:space="preserve"> PAGEREF _Toc15020 \h </w:instrText>
          </w:r>
          <w:r>
            <w:fldChar w:fldCharType="separate"/>
          </w:r>
          <w:r>
            <w:t>58</w:t>
          </w:r>
          <w:r>
            <w:fldChar w:fldCharType="end"/>
          </w:r>
          <w:r>
            <w:fldChar w:fldCharType="end"/>
          </w:r>
        </w:p>
        <w:p>
          <w:pPr>
            <w:pStyle w:val="10"/>
            <w:tabs>
              <w:tab w:val="right" w:leader="dot" w:pos="9186"/>
            </w:tabs>
            <w:ind w:left="632" w:firstLine="640"/>
          </w:pPr>
          <w:r>
            <w:fldChar w:fldCharType="begin"/>
          </w:r>
          <w:r>
            <w:instrText xml:space="preserve"> HYPERLINK \l "_Toc5385" </w:instrText>
          </w:r>
          <w:r>
            <w:fldChar w:fldCharType="separate"/>
          </w:r>
          <w:r>
            <w:rPr>
              <w:kern w:val="0"/>
            </w:rPr>
            <w:t>第三节生态效益</w:t>
          </w:r>
          <w:r>
            <w:tab/>
          </w:r>
          <w:r>
            <w:fldChar w:fldCharType="begin"/>
          </w:r>
          <w:r>
            <w:instrText xml:space="preserve"> PAGEREF _Toc5385 \h </w:instrText>
          </w:r>
          <w:r>
            <w:fldChar w:fldCharType="separate"/>
          </w:r>
          <w:r>
            <w:t>59</w:t>
          </w:r>
          <w:r>
            <w:fldChar w:fldCharType="end"/>
          </w:r>
          <w:r>
            <w:fldChar w:fldCharType="end"/>
          </w:r>
        </w:p>
        <w:p>
          <w:pPr>
            <w:pStyle w:val="9"/>
            <w:tabs>
              <w:tab w:val="right" w:leader="dot" w:pos="9186"/>
            </w:tabs>
            <w:ind w:firstLine="640"/>
          </w:pPr>
          <w:r>
            <w:fldChar w:fldCharType="begin"/>
          </w:r>
          <w:r>
            <w:instrText xml:space="preserve"> HYPERLINK \l "_Toc1111" </w:instrText>
          </w:r>
          <w:r>
            <w:fldChar w:fldCharType="separate"/>
          </w:r>
          <w:r>
            <w:t>第</w:t>
          </w:r>
          <w:r>
            <w:rPr>
              <w:rFonts w:hint="eastAsia"/>
            </w:rPr>
            <w:t>八</w:t>
          </w:r>
          <w:r>
            <w:t>章保障措施</w:t>
          </w:r>
          <w:r>
            <w:tab/>
          </w:r>
          <w:r>
            <w:fldChar w:fldCharType="begin"/>
          </w:r>
          <w:r>
            <w:instrText xml:space="preserve"> PAGEREF _Toc1111 \h </w:instrText>
          </w:r>
          <w:r>
            <w:fldChar w:fldCharType="separate"/>
          </w:r>
          <w:r>
            <w:t>61</w:t>
          </w:r>
          <w:r>
            <w:fldChar w:fldCharType="end"/>
          </w:r>
          <w:r>
            <w:fldChar w:fldCharType="end"/>
          </w:r>
        </w:p>
        <w:p>
          <w:pPr>
            <w:pStyle w:val="10"/>
            <w:tabs>
              <w:tab w:val="right" w:leader="dot" w:pos="9186"/>
            </w:tabs>
            <w:ind w:left="632" w:firstLine="640"/>
          </w:pPr>
          <w:r>
            <w:fldChar w:fldCharType="begin"/>
          </w:r>
          <w:r>
            <w:instrText xml:space="preserve"> HYPERLINK \l "_Toc5931" </w:instrText>
          </w:r>
          <w:r>
            <w:fldChar w:fldCharType="separate"/>
          </w:r>
          <w:r>
            <w:rPr>
              <w:kern w:val="0"/>
            </w:rPr>
            <w:t>第一节</w:t>
          </w:r>
          <w:r>
            <w:rPr>
              <w:rFonts w:hint="eastAsia"/>
              <w:kern w:val="0"/>
            </w:rPr>
            <w:t>明确组织领导</w:t>
          </w:r>
          <w:r>
            <w:tab/>
          </w:r>
          <w:r>
            <w:fldChar w:fldCharType="begin"/>
          </w:r>
          <w:r>
            <w:instrText xml:space="preserve"> PAGEREF _Toc5931 \h </w:instrText>
          </w:r>
          <w:r>
            <w:fldChar w:fldCharType="separate"/>
          </w:r>
          <w:r>
            <w:t>61</w:t>
          </w:r>
          <w:r>
            <w:fldChar w:fldCharType="end"/>
          </w:r>
          <w:r>
            <w:fldChar w:fldCharType="end"/>
          </w:r>
        </w:p>
        <w:p>
          <w:pPr>
            <w:pStyle w:val="10"/>
            <w:tabs>
              <w:tab w:val="right" w:leader="dot" w:pos="9186"/>
            </w:tabs>
            <w:ind w:left="632" w:firstLine="640"/>
          </w:pPr>
          <w:r>
            <w:fldChar w:fldCharType="begin"/>
          </w:r>
          <w:r>
            <w:instrText xml:space="preserve"> HYPERLINK \l "_Toc26790" </w:instrText>
          </w:r>
          <w:r>
            <w:fldChar w:fldCharType="separate"/>
          </w:r>
          <w:r>
            <w:rPr>
              <w:kern w:val="0"/>
            </w:rPr>
            <w:t>第二节规划引领</w:t>
          </w:r>
          <w:r>
            <w:tab/>
          </w:r>
          <w:r>
            <w:fldChar w:fldCharType="begin"/>
          </w:r>
          <w:r>
            <w:instrText xml:space="preserve"> PAGEREF _Toc26790 \h </w:instrText>
          </w:r>
          <w:r>
            <w:fldChar w:fldCharType="separate"/>
          </w:r>
          <w:r>
            <w:t>61</w:t>
          </w:r>
          <w:r>
            <w:fldChar w:fldCharType="end"/>
          </w:r>
          <w:r>
            <w:fldChar w:fldCharType="end"/>
          </w:r>
        </w:p>
        <w:p>
          <w:pPr>
            <w:pStyle w:val="10"/>
            <w:tabs>
              <w:tab w:val="right" w:leader="dot" w:pos="9186"/>
            </w:tabs>
            <w:ind w:left="632" w:firstLine="640"/>
          </w:pPr>
          <w:r>
            <w:fldChar w:fldCharType="begin"/>
          </w:r>
          <w:r>
            <w:instrText xml:space="preserve"> HYPERLINK \l "_Toc4542" </w:instrText>
          </w:r>
          <w:r>
            <w:fldChar w:fldCharType="separate"/>
          </w:r>
          <w:r>
            <w:rPr>
              <w:kern w:val="0"/>
            </w:rPr>
            <w:t>第三节</w:t>
          </w:r>
          <w:r>
            <w:rPr>
              <w:rFonts w:hint="eastAsia"/>
              <w:kern w:val="0"/>
            </w:rPr>
            <w:t>资金投入</w:t>
          </w:r>
          <w:r>
            <w:tab/>
          </w:r>
          <w:r>
            <w:fldChar w:fldCharType="begin"/>
          </w:r>
          <w:r>
            <w:instrText xml:space="preserve"> PAGEREF _Toc4542 \h </w:instrText>
          </w:r>
          <w:r>
            <w:fldChar w:fldCharType="separate"/>
          </w:r>
          <w:r>
            <w:t>62</w:t>
          </w:r>
          <w:r>
            <w:fldChar w:fldCharType="end"/>
          </w:r>
          <w:r>
            <w:fldChar w:fldCharType="end"/>
          </w:r>
        </w:p>
        <w:p>
          <w:pPr>
            <w:pStyle w:val="10"/>
            <w:tabs>
              <w:tab w:val="right" w:leader="dot" w:pos="9186"/>
            </w:tabs>
            <w:ind w:left="632" w:firstLine="640"/>
          </w:pPr>
          <w:r>
            <w:fldChar w:fldCharType="begin"/>
          </w:r>
          <w:r>
            <w:instrText xml:space="preserve"> HYPERLINK \l "_Toc19343" </w:instrText>
          </w:r>
          <w:r>
            <w:fldChar w:fldCharType="separate"/>
          </w:r>
          <w:r>
            <w:rPr>
              <w:kern w:val="0"/>
            </w:rPr>
            <w:t>第</w:t>
          </w:r>
          <w:r>
            <w:rPr>
              <w:rFonts w:hint="eastAsia"/>
              <w:kern w:val="0"/>
            </w:rPr>
            <w:t>四</w:t>
          </w:r>
          <w:r>
            <w:rPr>
              <w:kern w:val="0"/>
            </w:rPr>
            <w:t>节技术支撑</w:t>
          </w:r>
          <w:r>
            <w:tab/>
          </w:r>
          <w:r>
            <w:fldChar w:fldCharType="begin"/>
          </w:r>
          <w:r>
            <w:instrText xml:space="preserve"> PAGEREF _Toc19343 \h </w:instrText>
          </w:r>
          <w:r>
            <w:fldChar w:fldCharType="separate"/>
          </w:r>
          <w:r>
            <w:t>63</w:t>
          </w:r>
          <w:r>
            <w:fldChar w:fldCharType="end"/>
          </w:r>
          <w:r>
            <w:fldChar w:fldCharType="end"/>
          </w:r>
        </w:p>
        <w:p>
          <w:pPr>
            <w:pStyle w:val="10"/>
            <w:tabs>
              <w:tab w:val="right" w:leader="dot" w:pos="9186"/>
            </w:tabs>
            <w:ind w:left="632" w:firstLine="640"/>
          </w:pPr>
          <w:r>
            <w:fldChar w:fldCharType="begin"/>
          </w:r>
          <w:r>
            <w:instrText xml:space="preserve"> HYPERLINK \l "_Toc5570" </w:instrText>
          </w:r>
          <w:r>
            <w:fldChar w:fldCharType="separate"/>
          </w:r>
          <w:r>
            <w:rPr>
              <w:kern w:val="0"/>
            </w:rPr>
            <w:t>第</w:t>
          </w:r>
          <w:r>
            <w:rPr>
              <w:rFonts w:hint="eastAsia"/>
              <w:kern w:val="0"/>
            </w:rPr>
            <w:t>六</w:t>
          </w:r>
          <w:r>
            <w:rPr>
              <w:kern w:val="0"/>
            </w:rPr>
            <w:t>节监督考核</w:t>
          </w:r>
          <w:r>
            <w:tab/>
          </w:r>
          <w:r>
            <w:fldChar w:fldCharType="begin"/>
          </w:r>
          <w:r>
            <w:instrText xml:space="preserve"> PAGEREF _Toc5570 \h </w:instrText>
          </w:r>
          <w:r>
            <w:fldChar w:fldCharType="separate"/>
          </w:r>
          <w:r>
            <w:t>64</w:t>
          </w:r>
          <w:r>
            <w:fldChar w:fldCharType="end"/>
          </w:r>
          <w:r>
            <w:fldChar w:fldCharType="end"/>
          </w:r>
        </w:p>
        <w:p>
          <w:pPr>
            <w:pStyle w:val="10"/>
            <w:tabs>
              <w:tab w:val="right" w:leader="dot" w:pos="9186"/>
            </w:tabs>
            <w:ind w:left="632" w:firstLine="640"/>
          </w:pPr>
          <w:r>
            <w:fldChar w:fldCharType="begin"/>
          </w:r>
          <w:r>
            <w:instrText xml:space="preserve"> HYPERLINK \l "_Toc19305" </w:instrText>
          </w:r>
          <w:r>
            <w:fldChar w:fldCharType="separate"/>
          </w:r>
          <w:r>
            <w:rPr>
              <w:kern w:val="0"/>
            </w:rPr>
            <w:t>第四节</w:t>
          </w:r>
          <w:r>
            <w:rPr>
              <w:rFonts w:hint="eastAsia"/>
              <w:kern w:val="0"/>
            </w:rPr>
            <w:t>队伍建设</w:t>
          </w:r>
          <w:r>
            <w:tab/>
          </w:r>
          <w:r>
            <w:fldChar w:fldCharType="begin"/>
          </w:r>
          <w:r>
            <w:instrText xml:space="preserve"> PAGEREF _Toc19305 \h </w:instrText>
          </w:r>
          <w:r>
            <w:fldChar w:fldCharType="separate"/>
          </w:r>
          <w:r>
            <w:t>65</w:t>
          </w:r>
          <w:r>
            <w:fldChar w:fldCharType="end"/>
          </w:r>
          <w:r>
            <w:fldChar w:fldCharType="end"/>
          </w:r>
        </w:p>
        <w:p>
          <w:pPr>
            <w:pStyle w:val="10"/>
            <w:tabs>
              <w:tab w:val="right" w:leader="dot" w:pos="9186"/>
            </w:tabs>
            <w:ind w:left="632" w:firstLine="640"/>
          </w:pPr>
          <w:r>
            <w:fldChar w:fldCharType="begin"/>
          </w:r>
          <w:r>
            <w:instrText xml:space="preserve"> HYPERLINK \l "_Toc15391" </w:instrText>
          </w:r>
          <w:r>
            <w:fldChar w:fldCharType="separate"/>
          </w:r>
          <w:r>
            <w:rPr>
              <w:rFonts w:hint="eastAsia"/>
              <w:bCs/>
              <w:kern w:val="0"/>
            </w:rPr>
            <w:t>第七节项目规划公示</w:t>
          </w:r>
          <w:r>
            <w:tab/>
          </w:r>
          <w:r>
            <w:fldChar w:fldCharType="begin"/>
          </w:r>
          <w:r>
            <w:instrText xml:space="preserve"> PAGEREF _Toc15391 \h </w:instrText>
          </w:r>
          <w:r>
            <w:fldChar w:fldCharType="separate"/>
          </w:r>
          <w:r>
            <w:t>66</w:t>
          </w:r>
          <w:r>
            <w:fldChar w:fldCharType="end"/>
          </w:r>
          <w:r>
            <w:fldChar w:fldCharType="end"/>
          </w:r>
        </w:p>
        <w:p>
          <w:pPr>
            <w:pStyle w:val="9"/>
            <w:tabs>
              <w:tab w:val="right" w:leader="dot" w:pos="9186"/>
            </w:tabs>
            <w:ind w:firstLine="640"/>
          </w:pPr>
          <w:r>
            <w:fldChar w:fldCharType="begin"/>
          </w:r>
          <w:r>
            <w:instrText xml:space="preserve"> HYPERLINK \l "_Toc2469" </w:instrText>
          </w:r>
          <w:r>
            <w:fldChar w:fldCharType="separate"/>
          </w:r>
          <w:r>
            <w:rPr>
              <w:rFonts w:hint="eastAsia"/>
            </w:rPr>
            <w:t>附件、附表、附图</w:t>
          </w:r>
          <w:r>
            <w:tab/>
          </w:r>
          <w:r>
            <w:fldChar w:fldCharType="begin"/>
          </w:r>
          <w:r>
            <w:instrText xml:space="preserve"> PAGEREF _Toc2469 \h </w:instrText>
          </w:r>
          <w:r>
            <w:fldChar w:fldCharType="separate"/>
          </w:r>
          <w:r>
            <w:t>67</w:t>
          </w:r>
          <w:r>
            <w:fldChar w:fldCharType="end"/>
          </w:r>
          <w:r>
            <w:fldChar w:fldCharType="end"/>
          </w:r>
        </w:p>
        <w:p>
          <w:pPr>
            <w:pStyle w:val="10"/>
            <w:tabs>
              <w:tab w:val="right" w:leader="dot" w:pos="9186"/>
            </w:tabs>
            <w:ind w:left="632" w:firstLine="640"/>
          </w:pPr>
          <w:r>
            <w:fldChar w:fldCharType="begin"/>
          </w:r>
          <w:r>
            <w:instrText xml:space="preserve"> HYPERLINK \l "_Toc1036" </w:instrText>
          </w:r>
          <w:r>
            <w:fldChar w:fldCharType="separate"/>
          </w:r>
          <w:r>
            <w:rPr>
              <w:rFonts w:hint="eastAsia"/>
              <w:bCs/>
              <w:kern w:val="0"/>
            </w:rPr>
            <w:t>附件</w:t>
          </w:r>
          <w:r>
            <w:tab/>
          </w:r>
          <w:r>
            <w:fldChar w:fldCharType="begin"/>
          </w:r>
          <w:r>
            <w:instrText xml:space="preserve"> PAGEREF _Toc1036 \h </w:instrText>
          </w:r>
          <w:r>
            <w:fldChar w:fldCharType="separate"/>
          </w:r>
          <w:r>
            <w:t>67</w:t>
          </w:r>
          <w:r>
            <w:fldChar w:fldCharType="end"/>
          </w:r>
          <w:r>
            <w:fldChar w:fldCharType="end"/>
          </w:r>
        </w:p>
        <w:p>
          <w:pPr>
            <w:pStyle w:val="10"/>
            <w:tabs>
              <w:tab w:val="right" w:leader="dot" w:pos="9186"/>
            </w:tabs>
            <w:ind w:left="632" w:firstLine="640"/>
          </w:pPr>
          <w:r>
            <w:fldChar w:fldCharType="begin"/>
          </w:r>
          <w:r>
            <w:instrText xml:space="preserve"> HYPERLINK \l "_Toc26141" </w:instrText>
          </w:r>
          <w:r>
            <w:fldChar w:fldCharType="separate"/>
          </w:r>
          <w:r>
            <w:rPr>
              <w:rFonts w:hint="eastAsia"/>
              <w:bCs/>
              <w:kern w:val="0"/>
            </w:rPr>
            <w:t>附表</w:t>
          </w:r>
          <w:r>
            <w:tab/>
          </w:r>
          <w:r>
            <w:fldChar w:fldCharType="begin"/>
          </w:r>
          <w:r>
            <w:instrText xml:space="preserve"> PAGEREF _Toc26141 \h </w:instrText>
          </w:r>
          <w:r>
            <w:fldChar w:fldCharType="separate"/>
          </w:r>
          <w:r>
            <w:t>67</w:t>
          </w:r>
          <w:r>
            <w:fldChar w:fldCharType="end"/>
          </w:r>
          <w:r>
            <w:fldChar w:fldCharType="end"/>
          </w:r>
        </w:p>
        <w:p>
          <w:pPr>
            <w:pStyle w:val="10"/>
            <w:tabs>
              <w:tab w:val="right" w:leader="dot" w:pos="9186"/>
            </w:tabs>
            <w:ind w:left="632" w:firstLine="640"/>
          </w:pPr>
          <w:r>
            <w:fldChar w:fldCharType="begin"/>
          </w:r>
          <w:r>
            <w:instrText xml:space="preserve"> HYPERLINK \l "_Toc7562" </w:instrText>
          </w:r>
          <w:r>
            <w:fldChar w:fldCharType="separate"/>
          </w:r>
          <w:r>
            <w:rPr>
              <w:rFonts w:hint="eastAsia"/>
            </w:rPr>
            <w:t>附图</w:t>
          </w:r>
          <w:r>
            <w:tab/>
          </w:r>
          <w:r>
            <w:fldChar w:fldCharType="begin"/>
          </w:r>
          <w:r>
            <w:instrText xml:space="preserve"> PAGEREF _Toc7562 \h </w:instrText>
          </w:r>
          <w:r>
            <w:fldChar w:fldCharType="separate"/>
          </w:r>
          <w:r>
            <w:t>67</w:t>
          </w:r>
          <w:r>
            <w:fldChar w:fldCharType="end"/>
          </w:r>
          <w:r>
            <w:fldChar w:fldCharType="end"/>
          </w:r>
        </w:p>
        <w:p>
          <w:pPr>
            <w:pStyle w:val="3"/>
            <w:sectPr>
              <w:footerReference r:id="rId11" w:type="default"/>
              <w:pgSz w:w="12020" w:h="16900"/>
              <w:pgMar w:top="1417" w:right="1417" w:bottom="1417" w:left="1417" w:header="850" w:footer="1019" w:gutter="0"/>
              <w:pgNumType w:start="1"/>
              <w:cols w:space="720" w:num="1"/>
            </w:sectPr>
          </w:pPr>
          <w:r>
            <w:fldChar w:fldCharType="end"/>
          </w:r>
        </w:p>
      </w:sdtContent>
    </w:sdt>
    <w:p>
      <w:pPr>
        <w:pStyle w:val="3"/>
      </w:pPr>
      <w:bookmarkStart w:id="97" w:name="_Toc13409"/>
      <w:bookmarkStart w:id="98" w:name="_Toc32765"/>
      <w:bookmarkStart w:id="99" w:name="_Toc4023"/>
      <w:r>
        <w:t>前言</w:t>
      </w:r>
      <w:bookmarkEnd w:id="91"/>
      <w:bookmarkEnd w:id="92"/>
      <w:bookmarkEnd w:id="93"/>
      <w:bookmarkEnd w:id="94"/>
      <w:bookmarkEnd w:id="95"/>
      <w:bookmarkEnd w:id="96"/>
      <w:bookmarkEnd w:id="97"/>
      <w:bookmarkEnd w:id="98"/>
      <w:bookmarkEnd w:id="99"/>
    </w:p>
    <w:p>
      <w:pPr>
        <w:ind w:firstLine="632"/>
      </w:pPr>
      <w:r>
        <w:rPr>
          <w:rFonts w:hint="eastAsia"/>
        </w:rPr>
        <w:t>党中央、国务院高度重视高标准农田建设工作。习近平总书记强调，保障国家粮食安全的根本在耕地，耕地是粮食生产的命根子，关键在于落实“藏粮于地、藏粮于技”战略，要建设高标准农田，真正实现旱涝保收、高产稳产。我国《国民经济和社会发展第十四个五年规划和2035年远景目标纲要》提出，坚持最严格的耕地保护制度，强化耕地数量保护和质量提升，严守18亿亩耕地红线。以粮食生产功能区和重要农产品生产保护区为重点，建设国家粮食安全产业带，实施高标准农田建设工程，建成10.75亿亩集中连片高标准农田。建设高标准农田，是巩固和提高粮食生产能力、保障国家粮食安全的关键举措，是发展现代农业、增加农民收入的战略基础和重要途径，对提高农业综合生产能力，保障我区粮食安全和主要农产品有效供给具有重要的意义。</w:t>
      </w:r>
    </w:p>
    <w:p>
      <w:pPr>
        <w:ind w:firstLine="632"/>
      </w:pPr>
      <w:r>
        <w:t>2018年党和国家机构改革</w:t>
      </w:r>
      <w:r>
        <w:rPr>
          <w:rFonts w:hint="eastAsia"/>
        </w:rPr>
        <w:t>，</w:t>
      </w:r>
      <w:r>
        <w:t>将国家发展改革委</w:t>
      </w:r>
      <w:r>
        <w:rPr>
          <w:rFonts w:hint="eastAsia"/>
        </w:rPr>
        <w:t>、</w:t>
      </w:r>
      <w:r>
        <w:t>财政部</w:t>
      </w:r>
      <w:r>
        <w:rPr>
          <w:rFonts w:hint="eastAsia"/>
        </w:rPr>
        <w:t>、</w:t>
      </w:r>
      <w:r>
        <w:t>国土资源部</w:t>
      </w:r>
      <w:r>
        <w:rPr>
          <w:rFonts w:hint="eastAsia"/>
        </w:rPr>
        <w:t>、</w:t>
      </w:r>
      <w:r>
        <w:t>水利部</w:t>
      </w:r>
      <w:r>
        <w:rPr>
          <w:rFonts w:hint="eastAsia"/>
        </w:rPr>
        <w:t>、</w:t>
      </w:r>
      <w:r>
        <w:t>农业部等部委的农田建设项目管理职责整合划入农业农村部</w:t>
      </w:r>
      <w:r>
        <w:rPr>
          <w:rFonts w:hint="eastAsia"/>
        </w:rPr>
        <w:t>，</w:t>
      </w:r>
      <w:r>
        <w:t>为集中力量加快高标准农田建设提供了更加有力的保障</w:t>
      </w:r>
      <w:r>
        <w:rPr>
          <w:rFonts w:hint="eastAsia"/>
        </w:rPr>
        <w:t>。</w:t>
      </w:r>
      <w:r>
        <w:t>鉴于我国高标准农田建设任务和管理体制的变化</w:t>
      </w:r>
      <w:r>
        <w:rPr>
          <w:rFonts w:hint="eastAsia"/>
        </w:rPr>
        <w:t>，</w:t>
      </w:r>
      <w:r>
        <w:t>2019年中央1号文件提出</w:t>
      </w:r>
      <w:r>
        <w:rPr>
          <w:rFonts w:hint="eastAsia"/>
        </w:rPr>
        <w:t>“</w:t>
      </w:r>
      <w:r>
        <w:t>修编全国高标准农田建设总体规划</w:t>
      </w:r>
      <w:r>
        <w:rPr>
          <w:rFonts w:hint="eastAsia"/>
        </w:rPr>
        <w:t>，</w:t>
      </w:r>
      <w:r>
        <w:t>统一规划布局</w:t>
      </w:r>
      <w:r>
        <w:rPr>
          <w:rFonts w:hint="eastAsia"/>
        </w:rPr>
        <w:t>、</w:t>
      </w:r>
      <w:r>
        <w:t>建设标准</w:t>
      </w:r>
      <w:r>
        <w:rPr>
          <w:rFonts w:hint="eastAsia"/>
        </w:rPr>
        <w:t>、</w:t>
      </w:r>
      <w:r>
        <w:t>组织实施</w:t>
      </w:r>
      <w:r>
        <w:rPr>
          <w:rFonts w:hint="eastAsia"/>
        </w:rPr>
        <w:t>、</w:t>
      </w:r>
      <w:r>
        <w:t>验收考核</w:t>
      </w:r>
      <w:r>
        <w:rPr>
          <w:rFonts w:hint="eastAsia"/>
        </w:rPr>
        <w:t>、</w:t>
      </w:r>
      <w:r>
        <w:t>上图入库</w:t>
      </w:r>
      <w:r>
        <w:rPr>
          <w:rFonts w:hint="eastAsia"/>
        </w:rPr>
        <w:t>”</w:t>
      </w:r>
      <w:r>
        <w:t>。高标准农田建设专项规划编制</w:t>
      </w:r>
      <w:r>
        <w:rPr>
          <w:rFonts w:hint="eastAsia"/>
        </w:rPr>
        <w:t>，</w:t>
      </w:r>
      <w:r>
        <w:t>坚持以习近平新时代中国特色社会主义思想为指导</w:t>
      </w:r>
      <w:r>
        <w:rPr>
          <w:rFonts w:hint="eastAsia"/>
        </w:rPr>
        <w:t>，</w:t>
      </w:r>
      <w:r>
        <w:t>认真贯彻落实习近平总书记关于耕地保护工作的重要批示精神</w:t>
      </w:r>
      <w:r>
        <w:rPr>
          <w:rFonts w:hint="eastAsia"/>
        </w:rPr>
        <w:t>，</w:t>
      </w:r>
      <w:r>
        <w:t>按照省委</w:t>
      </w:r>
      <w:r>
        <w:rPr>
          <w:rFonts w:hint="eastAsia"/>
        </w:rPr>
        <w:t>、</w:t>
      </w:r>
      <w:r>
        <w:t>省政府工作部署要求</w:t>
      </w:r>
      <w:r>
        <w:rPr>
          <w:rFonts w:hint="eastAsia"/>
        </w:rPr>
        <w:t>，</w:t>
      </w:r>
      <w:r>
        <w:t>扎实推动藏粮于地</w:t>
      </w:r>
      <w:r>
        <w:rPr>
          <w:rFonts w:hint="eastAsia"/>
        </w:rPr>
        <w:t>、</w:t>
      </w:r>
      <w:r>
        <w:t>藏粮于技</w:t>
      </w:r>
      <w:r>
        <w:rPr>
          <w:rFonts w:hint="eastAsia"/>
        </w:rPr>
        <w:t>，</w:t>
      </w:r>
      <w:r>
        <w:t>紧紧围绕耕地这个要害</w:t>
      </w:r>
      <w:r>
        <w:rPr>
          <w:rFonts w:hint="eastAsia"/>
        </w:rPr>
        <w:t>，</w:t>
      </w:r>
      <w:r>
        <w:t>以提升粮食产能为首要目标</w:t>
      </w:r>
      <w:r>
        <w:rPr>
          <w:rFonts w:hint="eastAsia"/>
        </w:rPr>
        <w:t>，</w:t>
      </w:r>
      <w:r>
        <w:t>聚焦重点区域</w:t>
      </w:r>
      <w:r>
        <w:rPr>
          <w:rFonts w:hint="eastAsia"/>
        </w:rPr>
        <w:t>，</w:t>
      </w:r>
      <w:r>
        <w:t>加强规划布局</w:t>
      </w:r>
      <w:r>
        <w:rPr>
          <w:rFonts w:hint="eastAsia"/>
        </w:rPr>
        <w:t>，</w:t>
      </w:r>
      <w:r>
        <w:t>统筹整合资金</w:t>
      </w:r>
      <w:r>
        <w:rPr>
          <w:rFonts w:hint="eastAsia"/>
        </w:rPr>
        <w:t>，</w:t>
      </w:r>
      <w:r>
        <w:t>加大投入力度</w:t>
      </w:r>
      <w:r>
        <w:rPr>
          <w:rFonts w:hint="eastAsia"/>
        </w:rPr>
        <w:t>，</w:t>
      </w:r>
      <w:r>
        <w:t>完善建设内容</w:t>
      </w:r>
      <w:r>
        <w:rPr>
          <w:rFonts w:hint="eastAsia"/>
        </w:rPr>
        <w:t>，</w:t>
      </w:r>
      <w:r>
        <w:t>加强建设管理</w:t>
      </w:r>
      <w:r>
        <w:rPr>
          <w:rFonts w:hint="eastAsia"/>
        </w:rPr>
        <w:t>，</w:t>
      </w:r>
      <w:r>
        <w:t>突出抓好耕地保护</w:t>
      </w:r>
      <w:r>
        <w:rPr>
          <w:rFonts w:hint="eastAsia"/>
        </w:rPr>
        <w:t>、</w:t>
      </w:r>
      <w:r>
        <w:t>地力提升</w:t>
      </w:r>
      <w:r>
        <w:rPr>
          <w:rFonts w:hint="eastAsia"/>
        </w:rPr>
        <w:t>，</w:t>
      </w:r>
      <w:r>
        <w:t>加快补齐农田基础设施短板</w:t>
      </w:r>
      <w:r>
        <w:rPr>
          <w:rFonts w:hint="eastAsia"/>
        </w:rPr>
        <w:t>，</w:t>
      </w:r>
      <w:r>
        <w:t>高质量推进高标准农田建设工作</w:t>
      </w:r>
      <w:r>
        <w:rPr>
          <w:rFonts w:hint="eastAsia"/>
        </w:rPr>
        <w:t>，</w:t>
      </w:r>
      <w:r>
        <w:t>为提高</w:t>
      </w:r>
      <w:r>
        <w:rPr>
          <w:rFonts w:hint="eastAsia"/>
        </w:rPr>
        <w:t>我区</w:t>
      </w:r>
      <w:r>
        <w:t>农业综合生产能力奠定坚实基础</w:t>
      </w:r>
      <w:r>
        <w:rPr>
          <w:rFonts w:hint="eastAsia"/>
        </w:rPr>
        <w:t>。</w:t>
      </w:r>
    </w:p>
    <w:p>
      <w:pPr>
        <w:ind w:firstLine="632"/>
      </w:pPr>
      <w:r>
        <w:t>根据《全国高标准农田建设规划（2021-2030年）》、《福建省农业农村厅关于印发福建省高标准农田建设专项规划(2021-2030年）的通知》(闽农综（2021）84号)的文件精神及有关规定，按照省委、省政府、</w:t>
      </w:r>
      <w:r>
        <w:rPr>
          <w:rFonts w:hint="eastAsia"/>
        </w:rPr>
        <w:t>区</w:t>
      </w:r>
      <w:r>
        <w:t>委、</w:t>
      </w:r>
      <w:r>
        <w:rPr>
          <w:rFonts w:hint="eastAsia"/>
        </w:rPr>
        <w:t>区</w:t>
      </w:r>
      <w:r>
        <w:t>政府工作部署要求，扎实推动藏粮于地、藏粮于技，紧紧围绕耕地这个要害，以提升粮食产能为首要目标，聚焦重点区域，加强规划布局，统筹整合资金，加大投入力度，完善建设内容，加强建设管理，突出抓好耕地保护、地力提升，加快补齐农田基础设施短板，高质量推进高标准农田建设工作，为提高</w:t>
      </w:r>
      <w:r>
        <w:rPr>
          <w:rFonts w:hint="eastAsia"/>
        </w:rPr>
        <w:t>我区</w:t>
      </w:r>
      <w:r>
        <w:t>农业综合生产能力奠定坚实基础。编制《</w:t>
      </w:r>
      <w:r>
        <w:rPr>
          <w:rFonts w:hint="eastAsia"/>
        </w:rPr>
        <w:t>三元区</w:t>
      </w:r>
      <w:r>
        <w:t>高标准农田建设专项规划</w:t>
      </w:r>
      <w:r>
        <w:rPr>
          <w:rFonts w:hint="eastAsia"/>
        </w:rPr>
        <w:t>（2021</w:t>
      </w:r>
      <w:r>
        <w:t>—2030年</w:t>
      </w:r>
      <w:r>
        <w:rPr>
          <w:rFonts w:hint="eastAsia"/>
        </w:rPr>
        <w:t>）</w:t>
      </w:r>
      <w:r>
        <w:t>》</w:t>
      </w:r>
      <w:r>
        <w:rPr>
          <w:rFonts w:hint="eastAsia"/>
        </w:rPr>
        <w:t>（</w:t>
      </w:r>
      <w:r>
        <w:t>以下简称《规划》</w:t>
      </w:r>
      <w:r>
        <w:rPr>
          <w:rFonts w:hint="eastAsia"/>
        </w:rPr>
        <w:t>）</w:t>
      </w:r>
      <w:r>
        <w:t>。</w:t>
      </w:r>
    </w:p>
    <w:p>
      <w:pPr>
        <w:ind w:firstLine="632"/>
      </w:pPr>
      <w:r>
        <w:t>《规划》评估了</w:t>
      </w:r>
      <w:r>
        <w:rPr>
          <w:rFonts w:hint="eastAsia"/>
        </w:rPr>
        <w:t>近十年</w:t>
      </w:r>
      <w:r>
        <w:t>以来</w:t>
      </w:r>
      <w:r>
        <w:rPr>
          <w:rFonts w:hint="eastAsia"/>
        </w:rPr>
        <w:t>我区</w:t>
      </w:r>
      <w:r>
        <w:t>高标准农田建设成效，分析了有利条件和面临问题，明确了今后十年总体思路、建设目标、重点任务、建设标准、建设内容和建后管护，是今后一段时期</w:t>
      </w:r>
      <w:r>
        <w:rPr>
          <w:rFonts w:hint="eastAsia"/>
        </w:rPr>
        <w:t>我区</w:t>
      </w:r>
      <w:r>
        <w:t>高标准农田建设的重要实施依据，规划期限为2021-2030年，规划基期为2020年，规划目标年为2030年。</w:t>
      </w:r>
    </w:p>
    <w:p>
      <w:pPr>
        <w:ind w:firstLine="632"/>
        <w:sectPr>
          <w:pgSz w:w="12020" w:h="16900"/>
          <w:pgMar w:top="1417" w:right="1417" w:bottom="1417" w:left="1417" w:header="850" w:footer="1019" w:gutter="0"/>
          <w:pgNumType w:start="1"/>
          <w:cols w:space="720" w:num="1"/>
        </w:sectPr>
      </w:pPr>
    </w:p>
    <w:p>
      <w:pPr>
        <w:pStyle w:val="3"/>
        <w:rPr>
          <w:kern w:val="0"/>
        </w:rPr>
      </w:pPr>
      <w:bookmarkStart w:id="100" w:name="_Toc31945"/>
      <w:bookmarkStart w:id="101" w:name="_Toc1602"/>
      <w:bookmarkStart w:id="102" w:name="_Toc8175"/>
      <w:bookmarkStart w:id="103" w:name="_Toc23683"/>
      <w:r>
        <w:t>第一章</w:t>
      </w:r>
      <w:r>
        <w:rPr>
          <w:rFonts w:hint="eastAsia"/>
        </w:rPr>
        <w:t>建设</w:t>
      </w:r>
      <w:r>
        <w:t>形势</w:t>
      </w:r>
      <w:bookmarkEnd w:id="100"/>
      <w:bookmarkEnd w:id="101"/>
      <w:bookmarkEnd w:id="102"/>
      <w:bookmarkStart w:id="104" w:name="_Toc12413"/>
    </w:p>
    <w:p>
      <w:pPr>
        <w:pStyle w:val="5"/>
        <w:spacing w:before="72" w:after="72"/>
        <w:rPr>
          <w:kern w:val="0"/>
          <w:lang w:eastAsia="zh-CN"/>
        </w:rPr>
      </w:pPr>
      <w:bookmarkStart w:id="105" w:name="_Toc26352"/>
      <w:bookmarkStart w:id="106" w:name="_Toc31035"/>
      <w:r>
        <w:rPr>
          <w:rFonts w:hint="eastAsia"/>
          <w:kern w:val="0"/>
          <w:lang w:eastAsia="zh-CN"/>
        </w:rPr>
        <w:t>第一节高标准农田建设基本情况</w:t>
      </w:r>
      <w:bookmarkEnd w:id="105"/>
    </w:p>
    <w:p>
      <w:pPr>
        <w:ind w:firstLine="632"/>
        <w:rPr>
          <w:kern w:val="0"/>
        </w:rPr>
      </w:pPr>
      <w:r>
        <w:rPr>
          <w:rFonts w:hint="eastAsia"/>
        </w:rPr>
        <w:t>目前根据三元区自然资源局提供的第三次全国国体调查结果显示，三元区全区耕地总面积67363.65</w:t>
      </w:r>
      <w:r>
        <w:t> </w:t>
      </w:r>
      <w:r>
        <w:rPr>
          <w:rFonts w:hint="eastAsia"/>
        </w:rPr>
        <w:t>亩。</w:t>
      </w:r>
      <w:r>
        <w:rPr>
          <w:rFonts w:hint="eastAsia"/>
          <w:kern w:val="0"/>
        </w:rPr>
        <w:t>截止至2020年底，三元区累积建成高标准农田36064亩，项目总投资11633.7564万元，项目建设内容详见附表1。</w:t>
      </w:r>
    </w:p>
    <w:p>
      <w:pPr>
        <w:ind w:firstLine="0" w:firstLineChars="0"/>
        <w:jc w:val="center"/>
        <w:rPr>
          <w:b/>
          <w:bCs/>
        </w:rPr>
      </w:pPr>
      <w:r>
        <w:rPr>
          <w:rFonts w:hint="eastAsia"/>
          <w:b/>
          <w:bCs/>
        </w:rPr>
        <w:t>表1-1 三元区各乡镇耕地情况汇总表</w:t>
      </w:r>
    </w:p>
    <w:tbl>
      <w:tblPr>
        <w:tblStyle w:val="1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2"/>
        <w:gridCol w:w="1889"/>
        <w:gridCol w:w="1621"/>
        <w:gridCol w:w="2101"/>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b/>
                <w:bCs/>
                <w:lang w:eastAsia="zh-CN"/>
              </w:rPr>
            </w:pPr>
            <w:r>
              <w:rPr>
                <w:rFonts w:hint="eastAsia"/>
                <w:b/>
                <w:bCs/>
                <w:lang w:eastAsia="zh-CN"/>
              </w:rPr>
              <w:t>序号</w:t>
            </w:r>
          </w:p>
        </w:tc>
        <w:tc>
          <w:tcPr>
            <w:tcW w:w="1022"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乡镇</w:t>
            </w:r>
          </w:p>
        </w:tc>
        <w:tc>
          <w:tcPr>
            <w:tcW w:w="876"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耕地面积（亩）</w:t>
            </w:r>
          </w:p>
        </w:tc>
        <w:tc>
          <w:tcPr>
            <w:tcW w:w="1136"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上图入库面积（亩）</w:t>
            </w:r>
          </w:p>
        </w:tc>
        <w:tc>
          <w:tcPr>
            <w:tcW w:w="1171"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剩余耕地面积（亩）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lang w:eastAsia="zh-CN"/>
              </w:rPr>
            </w:pPr>
            <w:r>
              <w:rPr>
                <w:rFonts w:hint="eastAsia"/>
                <w:lang w:eastAsia="zh-CN"/>
              </w:rPr>
              <w:t>1</w:t>
            </w:r>
          </w:p>
        </w:tc>
        <w:tc>
          <w:tcPr>
            <w:tcW w:w="10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rPr>
              <w:t>陈大镇</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6340.05</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3355.00</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2985.05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lang w:eastAsia="zh-CN"/>
              </w:rPr>
            </w:pPr>
            <w:r>
              <w:rPr>
                <w:rFonts w:hint="eastAsia"/>
                <w:lang w:eastAsia="zh-CN"/>
              </w:rPr>
              <w:t>2</w:t>
            </w:r>
          </w:p>
        </w:tc>
        <w:tc>
          <w:tcPr>
            <w:tcW w:w="1022" w:type="pct"/>
            <w:noWrap/>
            <w:tcMar>
              <w:top w:w="15" w:type="dxa"/>
              <w:left w:w="15" w:type="dxa"/>
              <w:right w:w="15" w:type="dxa"/>
            </w:tcMar>
            <w:vAlign w:val="center"/>
          </w:tcPr>
          <w:p>
            <w:pPr>
              <w:pStyle w:val="6"/>
              <w:jc w:val="center"/>
              <w:rPr>
                <w:rFonts w:ascii="Times New Roman" w:hAnsi="Times New Roman" w:cs="Times New Roman"/>
                <w:kern w:val="0"/>
                <w:lang w:eastAsia="zh-CN"/>
              </w:rPr>
            </w:pPr>
            <w:r>
              <w:rPr>
                <w:rFonts w:hint="eastAsia" w:ascii="Times New Roman" w:hAnsi="Times New Roman" w:cs="Times New Roman"/>
              </w:rPr>
              <w:t>岩前镇</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22599.15</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12575.38</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10023.77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lang w:eastAsia="zh-CN"/>
              </w:rPr>
            </w:pPr>
            <w:r>
              <w:rPr>
                <w:rFonts w:hint="eastAsia"/>
                <w:lang w:eastAsia="zh-CN"/>
              </w:rPr>
              <w:t>3</w:t>
            </w:r>
          </w:p>
        </w:tc>
        <w:tc>
          <w:tcPr>
            <w:tcW w:w="10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rPr>
              <w:t>莘口镇</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9698.85</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5039.50</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4659.35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lang w:eastAsia="zh-CN"/>
              </w:rPr>
            </w:pPr>
            <w:r>
              <w:rPr>
                <w:rFonts w:hint="eastAsia"/>
                <w:lang w:eastAsia="zh-CN"/>
              </w:rPr>
              <w:t>4</w:t>
            </w:r>
          </w:p>
        </w:tc>
        <w:tc>
          <w:tcPr>
            <w:tcW w:w="10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中村乡</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15503.40</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4428.89</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11074.51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lang w:eastAsia="zh-CN"/>
              </w:rPr>
            </w:pPr>
            <w:r>
              <w:rPr>
                <w:rFonts w:hint="eastAsia"/>
                <w:lang w:eastAsia="zh-CN"/>
              </w:rPr>
              <w:t>5</w:t>
            </w:r>
          </w:p>
        </w:tc>
        <w:tc>
          <w:tcPr>
            <w:tcW w:w="10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rPr>
              <w:t>洋溪镇</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8323.20</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2592.59</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5730.61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lang w:eastAsia="zh-CN"/>
              </w:rPr>
            </w:pPr>
            <w:r>
              <w:rPr>
                <w:rFonts w:hint="eastAsia"/>
                <w:lang w:eastAsia="zh-CN"/>
              </w:rPr>
              <w:t>6</w:t>
            </w:r>
          </w:p>
        </w:tc>
        <w:tc>
          <w:tcPr>
            <w:tcW w:w="10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徐碧街道</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1816.65</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292.63</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92" w:type="pct"/>
            <w:noWrap/>
            <w:tcMar>
              <w:top w:w="15" w:type="dxa"/>
              <w:left w:w="15" w:type="dxa"/>
              <w:right w:w="15" w:type="dxa"/>
            </w:tcMar>
            <w:vAlign w:val="center"/>
          </w:tcPr>
          <w:p>
            <w:pPr>
              <w:pStyle w:val="6"/>
              <w:jc w:val="center"/>
              <w:rPr>
                <w:kern w:val="0"/>
                <w:lang w:eastAsia="zh-CN"/>
              </w:rPr>
            </w:pPr>
            <w:r>
              <w:rPr>
                <w:rFonts w:hint="eastAsia"/>
                <w:kern w:val="0"/>
                <w:lang w:eastAsia="zh-CN"/>
              </w:rPr>
              <w:t>合计</w:t>
            </w:r>
          </w:p>
        </w:tc>
        <w:tc>
          <w:tcPr>
            <w:tcW w:w="10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87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64281.3</w:t>
            </w:r>
          </w:p>
        </w:tc>
        <w:tc>
          <w:tcPr>
            <w:tcW w:w="113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28283.99</w:t>
            </w:r>
          </w:p>
        </w:tc>
        <w:tc>
          <w:tcPr>
            <w:tcW w:w="1171"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35997.31</w:t>
            </w:r>
          </w:p>
        </w:tc>
      </w:tr>
    </w:tbl>
    <w:p>
      <w:pPr>
        <w:ind w:firstLine="632"/>
        <w:rPr>
          <w:kern w:val="0"/>
        </w:rPr>
      </w:pPr>
      <w:r>
        <w:rPr>
          <w:rFonts w:hint="eastAsia"/>
          <w:kern w:val="0"/>
        </w:rPr>
        <w:t>上表数据来源为三元区自然资源局，数据统计年限至2020年。</w:t>
      </w:r>
    </w:p>
    <w:p>
      <w:pPr>
        <w:pStyle w:val="2"/>
        <w:ind w:left="632" w:firstLine="632"/>
      </w:pPr>
    </w:p>
    <w:p>
      <w:pPr>
        <w:pStyle w:val="5"/>
        <w:spacing w:before="72" w:after="72"/>
        <w:rPr>
          <w:kern w:val="0"/>
          <w:lang w:eastAsia="zh-CN"/>
        </w:rPr>
      </w:pPr>
      <w:bookmarkStart w:id="107" w:name="_Toc30373"/>
      <w:r>
        <w:rPr>
          <w:rFonts w:hint="eastAsia"/>
          <w:kern w:val="0"/>
          <w:lang w:eastAsia="zh-CN"/>
        </w:rPr>
        <w:t>第二节建设成效</w:t>
      </w:r>
      <w:bookmarkEnd w:id="104"/>
      <w:bookmarkEnd w:id="106"/>
      <w:bookmarkEnd w:id="107"/>
    </w:p>
    <w:p>
      <w:pPr>
        <w:ind w:firstLine="632"/>
      </w:pPr>
      <w:r>
        <w:rPr>
          <w:rFonts w:hint="eastAsia"/>
        </w:rPr>
        <w:t>“十三五”时期，我区围绕党中央、国务院关于高标准农田建设的决策部署，全面落实高标准农田和粮食生产功能区的新建和提升改造任务，成效明显。“十四五”时期，我区委区政府</w:t>
      </w:r>
      <w:r>
        <w:t>高度重视</w:t>
      </w:r>
      <w:r>
        <w:rPr>
          <w:rFonts w:hint="eastAsia"/>
        </w:rPr>
        <w:t>“</w:t>
      </w:r>
      <w:r>
        <w:t>藏粮于地</w:t>
      </w:r>
      <w:r>
        <w:rPr>
          <w:rFonts w:hint="eastAsia"/>
        </w:rPr>
        <w:t>、</w:t>
      </w:r>
      <w:r>
        <w:t>藏粮于技</w:t>
      </w:r>
      <w:r>
        <w:rPr>
          <w:rFonts w:hint="eastAsia"/>
        </w:rPr>
        <w:t>”</w:t>
      </w:r>
      <w:r>
        <w:t>战略实施</w:t>
      </w:r>
      <w:r>
        <w:rPr>
          <w:rFonts w:hint="eastAsia"/>
        </w:rPr>
        <w:t>，</w:t>
      </w:r>
      <w:r>
        <w:t>持续有力推进高标准农田建设</w:t>
      </w:r>
      <w:r>
        <w:rPr>
          <w:rFonts w:hint="eastAsia"/>
        </w:rPr>
        <w:t>，</w:t>
      </w:r>
      <w:r>
        <w:t>不断加大资金投入</w:t>
      </w:r>
      <w:r>
        <w:rPr>
          <w:rFonts w:hint="eastAsia"/>
        </w:rPr>
        <w:t>，</w:t>
      </w:r>
      <w:r>
        <w:t>通过实施农田建设项目</w:t>
      </w:r>
      <w:r>
        <w:rPr>
          <w:rFonts w:hint="eastAsia"/>
        </w:rPr>
        <w:t>，</w:t>
      </w:r>
      <w:r>
        <w:t>采取多种措施</w:t>
      </w:r>
      <w:r>
        <w:rPr>
          <w:rFonts w:hint="eastAsia"/>
        </w:rPr>
        <w:t>，</w:t>
      </w:r>
      <w:r>
        <w:t>不断完善农田基础设施</w:t>
      </w:r>
      <w:r>
        <w:rPr>
          <w:rFonts w:hint="eastAsia"/>
        </w:rPr>
        <w:t>，</w:t>
      </w:r>
      <w:r>
        <w:t>提高农业综合生产能力。</w:t>
      </w:r>
    </w:p>
    <w:p>
      <w:pPr>
        <w:numPr>
          <w:ilvl w:val="0"/>
          <w:numId w:val="1"/>
        </w:numPr>
        <w:ind w:firstLine="634"/>
        <w:rPr>
          <w:b/>
          <w:bCs/>
        </w:rPr>
      </w:pPr>
      <w:r>
        <w:rPr>
          <w:rFonts w:hint="eastAsia"/>
          <w:b/>
          <w:bCs/>
        </w:rPr>
        <w:t>关于三元区、梅列区合并事宜</w:t>
      </w:r>
      <w:r>
        <w:rPr>
          <w:b/>
          <w:bCs/>
        </w:rPr>
        <w:t>。</w:t>
      </w:r>
    </w:p>
    <w:p>
      <w:pPr>
        <w:ind w:firstLine="632"/>
      </w:pPr>
      <w:r>
        <w:t>经国务院批准，根据《福建省人民政府关于同意调整三明市部分行政区划的批复》（闽政文〔2021〕49号）精神,同意撤销三明市三元区、梅列区设立新的三明市三元区，以原三元区、梅列区的行政区域为新的三元区的行政区域，区人民政府驻列东街道新市北路836号。</w:t>
      </w:r>
      <w:r>
        <w:rPr>
          <w:rFonts w:hint="eastAsia"/>
        </w:rPr>
        <w:t>本次规划数据均为原三元区、原梅列区合并数据。相关批复文件详见附件。</w:t>
      </w:r>
    </w:p>
    <w:p>
      <w:pPr>
        <w:numPr>
          <w:ilvl w:val="0"/>
          <w:numId w:val="1"/>
        </w:numPr>
        <w:ind w:firstLine="634"/>
        <w:rPr>
          <w:b/>
          <w:bCs/>
        </w:rPr>
      </w:pPr>
      <w:r>
        <w:rPr>
          <w:b/>
          <w:bCs/>
        </w:rPr>
        <w:t>农田基础设施显著改善。</w:t>
      </w:r>
    </w:p>
    <w:p>
      <w:pPr>
        <w:ind w:firstLine="632"/>
      </w:pPr>
      <w:r>
        <w:rPr>
          <w:rFonts w:hint="eastAsia"/>
        </w:rPr>
        <w:t>2011-2020年</w:t>
      </w:r>
      <w:r>
        <w:t>期间</w:t>
      </w:r>
      <w:r>
        <w:rPr>
          <w:rFonts w:hint="eastAsia"/>
        </w:rPr>
        <w:t>，</w:t>
      </w:r>
      <w:r>
        <w:t>农业农村</w:t>
      </w:r>
      <w:r>
        <w:rPr>
          <w:rFonts w:hint="eastAsia"/>
        </w:rPr>
        <w:t>、</w:t>
      </w:r>
      <w:r>
        <w:t>自然资源</w:t>
      </w:r>
      <w:r>
        <w:rPr>
          <w:rFonts w:hint="eastAsia"/>
        </w:rPr>
        <w:t>、</w:t>
      </w:r>
      <w:r>
        <w:t>发改</w:t>
      </w:r>
      <w:r>
        <w:rPr>
          <w:rFonts w:hint="eastAsia"/>
        </w:rPr>
        <w:t>、</w:t>
      </w:r>
      <w:r>
        <w:t>财政</w:t>
      </w:r>
      <w:r>
        <w:rPr>
          <w:rFonts w:hint="eastAsia"/>
        </w:rPr>
        <w:t>、</w:t>
      </w:r>
      <w:r>
        <w:t>水利</w:t>
      </w:r>
      <w:r>
        <w:rPr>
          <w:rFonts w:hint="eastAsia"/>
        </w:rPr>
        <w:t>、</w:t>
      </w:r>
      <w:r>
        <w:t>烟草等部门持续加大农田基础设施建设力度</w:t>
      </w:r>
      <w:r>
        <w:rPr>
          <w:rFonts w:hint="eastAsia"/>
        </w:rPr>
        <w:t>，</w:t>
      </w:r>
      <w:r>
        <w:t>共同落实建设任务</w:t>
      </w:r>
      <w:r>
        <w:rPr>
          <w:rFonts w:hint="eastAsia"/>
        </w:rPr>
        <w:t>，全区</w:t>
      </w:r>
      <w:r>
        <w:t>共投资</w:t>
      </w:r>
      <w:r>
        <w:rPr>
          <w:rFonts w:hint="eastAsia"/>
        </w:rPr>
        <w:t>11633.76万</w:t>
      </w:r>
      <w:r>
        <w:t>元</w:t>
      </w:r>
      <w:r>
        <w:rPr>
          <w:rFonts w:hint="eastAsia"/>
        </w:rPr>
        <w:t>，</w:t>
      </w:r>
      <w:r>
        <w:t>新建高标准农田</w:t>
      </w:r>
      <w:r>
        <w:rPr>
          <w:rFonts w:hint="eastAsia"/>
        </w:rPr>
        <w:t>3.61万</w:t>
      </w:r>
      <w:r>
        <w:t>亩</w:t>
      </w:r>
      <w:r>
        <w:rPr>
          <w:rFonts w:hint="eastAsia"/>
        </w:rPr>
        <w:t>，</w:t>
      </w:r>
      <w:r>
        <w:t>低洼易涝</w:t>
      </w:r>
      <w:r>
        <w:rPr>
          <w:rFonts w:hint="eastAsia"/>
        </w:rPr>
        <w:t>和</w:t>
      </w:r>
      <w:r>
        <w:t>渍害低产田得到了较好治理</w:t>
      </w:r>
      <w:r>
        <w:rPr>
          <w:rFonts w:hint="eastAsia"/>
        </w:rPr>
        <w:t>，</w:t>
      </w:r>
      <w:r>
        <w:t>灌溉水有效利用系数达到0</w:t>
      </w:r>
      <w:r>
        <w:rPr>
          <w:rFonts w:hint="eastAsia"/>
        </w:rPr>
        <w:t>.71以上，</w:t>
      </w:r>
      <w:r>
        <w:t>优化农田工程设施与工程布局</w:t>
      </w:r>
      <w:r>
        <w:rPr>
          <w:rFonts w:hint="eastAsia"/>
        </w:rPr>
        <w:t>，</w:t>
      </w:r>
      <w:r>
        <w:t>完善农田路沟渠</w:t>
      </w:r>
      <w:r>
        <w:rPr>
          <w:rFonts w:hint="eastAsia"/>
        </w:rPr>
        <w:t>、</w:t>
      </w:r>
      <w:r>
        <w:t>小型水源工程</w:t>
      </w:r>
      <w:r>
        <w:rPr>
          <w:rFonts w:hint="eastAsia"/>
        </w:rPr>
        <w:t>、</w:t>
      </w:r>
      <w:r>
        <w:t>防冲护岸等基础设施</w:t>
      </w:r>
      <w:r>
        <w:rPr>
          <w:rFonts w:hint="eastAsia"/>
        </w:rPr>
        <w:t>，</w:t>
      </w:r>
      <w:r>
        <w:t>农机作业条件显著改善</w:t>
      </w:r>
      <w:r>
        <w:rPr>
          <w:rFonts w:hint="eastAsia"/>
        </w:rPr>
        <w:t>，</w:t>
      </w:r>
      <w:r>
        <w:t>有力推进土地规模流转</w:t>
      </w:r>
      <w:r>
        <w:rPr>
          <w:rFonts w:hint="eastAsia"/>
        </w:rPr>
        <w:t>，农田防护体系逐步完善，增强了农田防灾抗灾减灾能力，巩固和提升了粮食综合生产能力。三元区至2020年上图入库耕地面积28522.41亩。</w:t>
      </w:r>
    </w:p>
    <w:p>
      <w:pPr>
        <w:numPr>
          <w:ilvl w:val="0"/>
          <w:numId w:val="1"/>
        </w:numPr>
        <w:ind w:firstLine="634"/>
        <w:rPr>
          <w:b/>
          <w:bCs/>
        </w:rPr>
      </w:pPr>
      <w:r>
        <w:rPr>
          <w:b/>
          <w:bCs/>
        </w:rPr>
        <w:t>耕地产出能力明显提高。</w:t>
      </w:r>
    </w:p>
    <w:p>
      <w:pPr>
        <w:ind w:firstLine="632"/>
        <w:rPr>
          <w:szCs w:val="32"/>
        </w:rPr>
      </w:pPr>
      <w:r>
        <w:rPr>
          <w:rFonts w:hint="eastAsia"/>
        </w:rPr>
        <w:t>2011-2020年</w:t>
      </w:r>
      <w:r>
        <w:t>期间</w:t>
      </w:r>
      <w:r>
        <w:rPr>
          <w:rFonts w:hint="eastAsia"/>
        </w:rPr>
        <w:t>，</w:t>
      </w:r>
      <w:r>
        <w:t>通过</w:t>
      </w:r>
      <w:r>
        <w:rPr>
          <w:rFonts w:hint="eastAsia"/>
        </w:rPr>
        <w:t>高标准农田建设，增加农田配套排水沟、引水渠、机耕路等设施，基本实现了旱能灌、涝能排；增加地力配肥措施，提升农田生产能力；在水土流失易发地区，合理修筑岸坡防护、沟道治理、坡面防护等设施，有效遏制水土流失，农田生态环境得到进一步改善，防灾减灾能力增强。高标准农田的建设</w:t>
      </w:r>
      <w:r>
        <w:t>有效提升了耕地质量和产能</w:t>
      </w:r>
      <w:r>
        <w:rPr>
          <w:rFonts w:hint="eastAsia"/>
        </w:rPr>
        <w:t>，全区</w:t>
      </w:r>
      <w:r>
        <w:t>耕地质量平均等级提升</w:t>
      </w:r>
      <w:r>
        <w:rPr>
          <w:rFonts w:hint="eastAsia"/>
        </w:rPr>
        <w:t>0.50</w:t>
      </w:r>
      <w:r>
        <w:t>个等级</w:t>
      </w:r>
      <w:r>
        <w:rPr>
          <w:rFonts w:hint="eastAsia"/>
        </w:rPr>
        <w:t>，</w:t>
      </w:r>
      <w:r>
        <w:t>到2020年底</w:t>
      </w:r>
      <w:r>
        <w:rPr>
          <w:rFonts w:hint="eastAsia"/>
        </w:rPr>
        <w:t>，全区</w:t>
      </w:r>
      <w:r>
        <w:t>累计建成高标准农田</w:t>
      </w:r>
      <w:r>
        <w:rPr>
          <w:rFonts w:hint="eastAsia"/>
        </w:rPr>
        <w:t>3.61</w:t>
      </w:r>
      <w:r>
        <w:t>万亩</w:t>
      </w:r>
      <w:r>
        <w:rPr>
          <w:rFonts w:hint="eastAsia"/>
        </w:rPr>
        <w:t>，</w:t>
      </w:r>
      <w:r>
        <w:t>高标准农田建设覆盖水稻生产功能区达</w:t>
      </w:r>
      <w:r>
        <w:rPr>
          <w:rFonts w:hint="eastAsia"/>
        </w:rPr>
        <w:t>70</w:t>
      </w:r>
      <w:r>
        <w:t>%以上</w:t>
      </w:r>
      <w:r>
        <w:rPr>
          <w:rFonts w:hint="eastAsia"/>
        </w:rPr>
        <w:t>。</w:t>
      </w:r>
      <w:r>
        <w:t>建成后的高标准农田</w:t>
      </w:r>
      <w:r>
        <w:rPr>
          <w:rFonts w:hint="eastAsia"/>
        </w:rPr>
        <w:t>，</w:t>
      </w:r>
      <w:r>
        <w:t>平均亩增粮食10%以上</w:t>
      </w:r>
      <w:r>
        <w:rPr>
          <w:rFonts w:hint="eastAsia"/>
        </w:rPr>
        <w:t>，</w:t>
      </w:r>
      <w:r>
        <w:t>大部分建成</w:t>
      </w:r>
      <w:r>
        <w:rPr>
          <w:rFonts w:hint="eastAsia"/>
        </w:rPr>
        <w:t>“</w:t>
      </w:r>
      <w:r>
        <w:t>一季千斤</w:t>
      </w:r>
      <w:r>
        <w:rPr>
          <w:rFonts w:hint="eastAsia"/>
        </w:rPr>
        <w:t>、</w:t>
      </w:r>
      <w:r>
        <w:t>两季吨粮</w:t>
      </w:r>
      <w:r>
        <w:rPr>
          <w:rFonts w:hint="eastAsia"/>
        </w:rPr>
        <w:t>”</w:t>
      </w:r>
      <w:r>
        <w:t>的高产稳产良田</w:t>
      </w:r>
      <w:r>
        <w:rPr>
          <w:rFonts w:hint="eastAsia"/>
        </w:rPr>
        <w:t>，</w:t>
      </w:r>
      <w:r>
        <w:t>为</w:t>
      </w:r>
      <w:r>
        <w:rPr>
          <w:rFonts w:hint="eastAsia"/>
        </w:rPr>
        <w:t>我区</w:t>
      </w:r>
      <w:r>
        <w:t>稳定粮食生产提供坚实保障</w:t>
      </w:r>
      <w:r>
        <w:rPr>
          <w:rFonts w:hint="eastAsia"/>
        </w:rPr>
        <w:t>。</w:t>
      </w:r>
    </w:p>
    <w:p>
      <w:pPr>
        <w:numPr>
          <w:ilvl w:val="0"/>
          <w:numId w:val="1"/>
        </w:numPr>
        <w:ind w:firstLine="634"/>
        <w:rPr>
          <w:b/>
          <w:bCs/>
        </w:rPr>
      </w:pPr>
      <w:r>
        <w:rPr>
          <w:b/>
          <w:bCs/>
        </w:rPr>
        <w:t>推动科技水平快速提升。</w:t>
      </w:r>
    </w:p>
    <w:p>
      <w:pPr>
        <w:ind w:firstLine="632"/>
      </w:pPr>
      <w:r>
        <w:rPr>
          <w:rFonts w:hint="eastAsia"/>
        </w:rPr>
        <w:t>十</w:t>
      </w:r>
      <w:r>
        <w:t>年来</w:t>
      </w:r>
      <w:r>
        <w:rPr>
          <w:rFonts w:hint="eastAsia"/>
        </w:rPr>
        <w:t>，</w:t>
      </w:r>
      <w:r>
        <w:t>通过土地平整</w:t>
      </w:r>
      <w:r>
        <w:rPr>
          <w:rFonts w:hint="eastAsia"/>
        </w:rPr>
        <w:t>、</w:t>
      </w:r>
      <w:r>
        <w:t>完善机耕路等措施</w:t>
      </w:r>
      <w:r>
        <w:rPr>
          <w:rFonts w:hint="eastAsia"/>
        </w:rPr>
        <w:t>，</w:t>
      </w:r>
      <w:r>
        <w:t>农田宜机化改造明显加快</w:t>
      </w:r>
      <w:r>
        <w:rPr>
          <w:rFonts w:hint="eastAsia"/>
        </w:rPr>
        <w:t>，</w:t>
      </w:r>
      <w:r>
        <w:t>农田</w:t>
      </w:r>
      <w:r>
        <w:rPr>
          <w:rFonts w:hint="eastAsia"/>
        </w:rPr>
        <w:t>、</w:t>
      </w:r>
      <w:r>
        <w:t>农机</w:t>
      </w:r>
      <w:r>
        <w:rPr>
          <w:rFonts w:hint="eastAsia"/>
        </w:rPr>
        <w:t>、</w:t>
      </w:r>
      <w:r>
        <w:t>农艺结合更加紧密</w:t>
      </w:r>
      <w:r>
        <w:rPr>
          <w:rFonts w:hint="eastAsia"/>
        </w:rPr>
        <w:t>，</w:t>
      </w:r>
      <w:r>
        <w:t>农机装备水平</w:t>
      </w:r>
      <w:r>
        <w:rPr>
          <w:rFonts w:hint="eastAsia"/>
        </w:rPr>
        <w:t>、</w:t>
      </w:r>
      <w:r>
        <w:t>作业水平</w:t>
      </w:r>
      <w:r>
        <w:rPr>
          <w:rFonts w:hint="eastAsia"/>
        </w:rPr>
        <w:t>、</w:t>
      </w:r>
      <w:r>
        <w:t>服务水平和农作物机械化水平稳步提高</w:t>
      </w:r>
      <w:r>
        <w:rPr>
          <w:rFonts w:hint="eastAsia"/>
        </w:rPr>
        <w:t>，</w:t>
      </w:r>
      <w:r>
        <w:t>在高标准农田大力开展高产创建</w:t>
      </w:r>
      <w:r>
        <w:rPr>
          <w:rFonts w:hint="eastAsia"/>
        </w:rPr>
        <w:t>、</w:t>
      </w:r>
      <w:r>
        <w:t>优质稻示范</w:t>
      </w:r>
      <w:r>
        <w:rPr>
          <w:rFonts w:hint="eastAsia"/>
        </w:rPr>
        <w:t>、</w:t>
      </w:r>
      <w:r>
        <w:t>测土配方施肥</w:t>
      </w:r>
      <w:r>
        <w:rPr>
          <w:rFonts w:hint="eastAsia"/>
        </w:rPr>
        <w:t>、</w:t>
      </w:r>
      <w:r>
        <w:t>提升有机质</w:t>
      </w:r>
      <w:r>
        <w:rPr>
          <w:rFonts w:hint="eastAsia"/>
        </w:rPr>
        <w:t>、</w:t>
      </w:r>
      <w:r>
        <w:t>病虫害统防统治等措施</w:t>
      </w:r>
      <w:r>
        <w:rPr>
          <w:rFonts w:hint="eastAsia"/>
        </w:rPr>
        <w:t>，</w:t>
      </w:r>
      <w:r>
        <w:t>为有效稳定粮食种植面积</w:t>
      </w:r>
      <w:r>
        <w:rPr>
          <w:rFonts w:hint="eastAsia"/>
        </w:rPr>
        <w:t>，</w:t>
      </w:r>
      <w:r>
        <w:t>促进粮食稳产高产和现代农业发展</w:t>
      </w:r>
      <w:r>
        <w:rPr>
          <w:rFonts w:hint="eastAsia"/>
        </w:rPr>
        <w:t>，作出了</w:t>
      </w:r>
      <w:r>
        <w:t>重要贡献。</w:t>
      </w:r>
      <w:r>
        <w:rPr>
          <w:rFonts w:hint="eastAsia"/>
        </w:rPr>
        <w:t>通过高标准农田建设，特别是田块整治，机耕路、下田坡等基础设施大量新建、改建，土地分散、交通不便等问题得到改善，建成后的农田通达度均达到90%以上，土地破碎程度降低，农田格局明显改观，有效促进农业规范化、标准化、专业化经营，带动了农业机械提档升级。</w:t>
      </w:r>
      <w:r>
        <w:rPr>
          <w:rFonts w:hint="eastAsia"/>
        </w:rPr>
        <w:tab/>
      </w:r>
      <w:r>
        <w:rPr>
          <w:rFonts w:hint="eastAsia"/>
        </w:rPr>
        <w:tab/>
      </w:r>
      <w:r>
        <w:rPr>
          <w:rFonts w:hint="eastAsia"/>
        </w:rPr>
        <w:tab/>
      </w:r>
    </w:p>
    <w:p>
      <w:pPr>
        <w:numPr>
          <w:ilvl w:val="0"/>
          <w:numId w:val="1"/>
        </w:numPr>
        <w:ind w:firstLine="634"/>
        <w:rPr>
          <w:b/>
          <w:bCs/>
        </w:rPr>
      </w:pPr>
      <w:r>
        <w:rPr>
          <w:b/>
          <w:bCs/>
        </w:rPr>
        <w:t>拓宽了农民增收致富渠道。</w:t>
      </w:r>
    </w:p>
    <w:p>
      <w:pPr>
        <w:ind w:firstLine="632"/>
      </w:pPr>
      <w:r>
        <w:rPr>
          <w:rFonts w:hint="eastAsia"/>
        </w:rPr>
        <w:t>通过高标准农田建设，一方面改善了农业生产条件，降低了农业生产成本，直接增加农民收入；另一方面通过改善农业生产条件，促进土地流转和规范化经营，推动当地农业产业结构优化调整，扩大了农民增收的途径，让当地农民通过参与工程建设增加劳务收入；另外，粮食产能的提高也给农民带来了一定的收益。在农民满意度方面，积极探索建立农民广泛参与的高标农田实施机制，引导农民积极参与项目选址、规划设计方案论证、工程质量监督、项目验收及建后管护利用等工作，把农业意愿真正落实到实处。</w:t>
      </w:r>
    </w:p>
    <w:p>
      <w:pPr>
        <w:pStyle w:val="5"/>
        <w:spacing w:before="72" w:after="72"/>
        <w:rPr>
          <w:kern w:val="0"/>
        </w:rPr>
      </w:pPr>
      <w:bookmarkStart w:id="108" w:name="_Toc28102"/>
      <w:bookmarkStart w:id="109" w:name="_Toc30263"/>
      <w:bookmarkStart w:id="110" w:name="_Toc3135"/>
      <w:r>
        <w:rPr>
          <w:kern w:val="0"/>
        </w:rPr>
        <w:t>第</w:t>
      </w:r>
      <w:r>
        <w:rPr>
          <w:rFonts w:hint="eastAsia"/>
          <w:kern w:val="0"/>
          <w:lang w:eastAsia="zh-CN"/>
        </w:rPr>
        <w:t>三</w:t>
      </w:r>
      <w:r>
        <w:rPr>
          <w:kern w:val="0"/>
        </w:rPr>
        <w:t>节主要问题</w:t>
      </w:r>
      <w:bookmarkEnd w:id="108"/>
      <w:bookmarkEnd w:id="109"/>
      <w:bookmarkEnd w:id="110"/>
    </w:p>
    <w:p>
      <w:pPr>
        <w:numPr>
          <w:ilvl w:val="0"/>
          <w:numId w:val="2"/>
        </w:numPr>
        <w:ind w:firstLine="634"/>
        <w:rPr>
          <w:b/>
          <w:bCs/>
        </w:rPr>
      </w:pPr>
      <w:r>
        <w:rPr>
          <w:b/>
          <w:bCs/>
        </w:rPr>
        <w:t>可建设耕地立地条件较差。</w:t>
      </w:r>
    </w:p>
    <w:p>
      <w:pPr>
        <w:ind w:firstLine="632"/>
      </w:pPr>
      <w:r>
        <w:rPr>
          <w:rFonts w:hint="eastAsia"/>
        </w:rPr>
        <w:t>我区</w:t>
      </w:r>
      <w:r>
        <w:t>耕地资源有限</w:t>
      </w:r>
      <w:r>
        <w:rPr>
          <w:rFonts w:hint="eastAsia"/>
        </w:rPr>
        <w:t>、</w:t>
      </w:r>
      <w:r>
        <w:t>立地条件较差</w:t>
      </w:r>
      <w:r>
        <w:rPr>
          <w:rFonts w:hint="eastAsia"/>
        </w:rPr>
        <w:t>，</w:t>
      </w:r>
      <w:r>
        <w:t>平原少</w:t>
      </w:r>
      <w:r>
        <w:rPr>
          <w:rFonts w:hint="eastAsia"/>
        </w:rPr>
        <w:t>，</w:t>
      </w:r>
      <w:r>
        <w:t>山地丘陵</w:t>
      </w:r>
      <w:r>
        <w:rPr>
          <w:rFonts w:hint="eastAsia"/>
        </w:rPr>
        <w:t>、</w:t>
      </w:r>
      <w:r>
        <w:t>山垅田多</w:t>
      </w:r>
      <w:r>
        <w:rPr>
          <w:rFonts w:hint="eastAsia"/>
        </w:rPr>
        <w:t>，</w:t>
      </w:r>
      <w:r>
        <w:t>集中连片较少</w:t>
      </w:r>
      <w:r>
        <w:rPr>
          <w:rFonts w:hint="eastAsia"/>
        </w:rPr>
        <w:t>，</w:t>
      </w:r>
      <w:r>
        <w:t>零散农田较多。大部分地区高标准农田建设已从交通方便</w:t>
      </w:r>
      <w:r>
        <w:rPr>
          <w:rFonts w:hint="eastAsia"/>
        </w:rPr>
        <w:t>、</w:t>
      </w:r>
      <w:r>
        <w:t>立地条件较好的洋面田向交通不便</w:t>
      </w:r>
      <w:r>
        <w:rPr>
          <w:rFonts w:hint="eastAsia"/>
        </w:rPr>
        <w:t>、</w:t>
      </w:r>
      <w:r>
        <w:t>立地条件较差的山垅田转移</w:t>
      </w:r>
      <w:r>
        <w:rPr>
          <w:rFonts w:hint="eastAsia"/>
        </w:rPr>
        <w:t>，</w:t>
      </w:r>
      <w:r>
        <w:t>山境田地块小</w:t>
      </w:r>
      <w:r>
        <w:rPr>
          <w:rFonts w:hint="eastAsia"/>
        </w:rPr>
        <w:t>、</w:t>
      </w:r>
      <w:r>
        <w:t>梯田多</w:t>
      </w:r>
      <w:r>
        <w:rPr>
          <w:rFonts w:hint="eastAsia"/>
        </w:rPr>
        <w:t>、</w:t>
      </w:r>
      <w:r>
        <w:t>高差大</w:t>
      </w:r>
      <w:r>
        <w:rPr>
          <w:rFonts w:hint="eastAsia"/>
        </w:rPr>
        <w:t>、</w:t>
      </w:r>
      <w:r>
        <w:t>零星分散</w:t>
      </w:r>
      <w:r>
        <w:rPr>
          <w:rFonts w:hint="eastAsia"/>
        </w:rPr>
        <w:t>，</w:t>
      </w:r>
      <w:r>
        <w:t>导致建设成本提高</w:t>
      </w:r>
      <w:r>
        <w:rPr>
          <w:rFonts w:hint="eastAsia"/>
        </w:rPr>
        <w:t>、</w:t>
      </w:r>
      <w:r>
        <w:t>建设难度加大。</w:t>
      </w:r>
    </w:p>
    <w:p>
      <w:pPr>
        <w:ind w:firstLine="632"/>
        <w:sectPr>
          <w:footerReference r:id="rId12" w:type="default"/>
          <w:pgSz w:w="12050" w:h="16920"/>
          <w:pgMar w:top="1417" w:right="1417" w:bottom="1417" w:left="1417" w:header="850" w:footer="1020" w:gutter="0"/>
          <w:pgNumType w:start="1"/>
          <w:cols w:space="720" w:num="1"/>
        </w:sectPr>
      </w:pPr>
      <w:r>
        <w:rPr>
          <w:rFonts w:hint="eastAsia"/>
        </w:rPr>
        <w:t>目前根据2021年三元区农业农村局统计结果，三元区全区耕地总面积67363.65</w:t>
      </w:r>
      <w:r>
        <w:t> </w:t>
      </w:r>
      <w:r>
        <w:rPr>
          <w:rFonts w:hint="eastAsia"/>
        </w:rPr>
        <w:t>亩。根据表1结果表明，等级较高的1-3等仅占耕地面积的23.95%，分布于白沙街道、陈大镇、城关街道、富兴堡街道、荆西街道、列西街道、莘口镇、徐碧街道、岩前镇和中村乡；等级中等4-6等占47.60%，分布于陈大镇、城关街道、富兴堡街道、荆西街道、列东街道、列西街道、莘口镇、徐碧街道、岩前镇、洋溪镇和中村乡；等级较低的7-10等占28.45%，分布于陈大镇、列西街道、莘口镇、岩前镇、洋溪镇和中村乡。可见三元区耕地已中产耕地为主，低产耕地与高产耕地占有一定比例，全区2021年耕地质量平均等级为：</w:t>
      </w:r>
    </w:p>
    <w:p>
      <w:pPr>
        <w:ind w:firstLine="0" w:firstLineChars="0"/>
        <w:jc w:val="center"/>
        <w:rPr>
          <w:b/>
          <w:bCs/>
        </w:rPr>
      </w:pPr>
      <w:r>
        <w:rPr>
          <w:rFonts w:hint="eastAsia"/>
          <w:b/>
          <w:bCs/>
        </w:rPr>
        <w:t>表1-2  2021年耕地质量等级面积</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1236"/>
        <w:gridCol w:w="1112"/>
        <w:gridCol w:w="1405"/>
        <w:gridCol w:w="1310"/>
        <w:gridCol w:w="1348"/>
        <w:gridCol w:w="1256"/>
        <w:gridCol w:w="1236"/>
        <w:gridCol w:w="1256"/>
        <w:gridCol w:w="1256"/>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restart"/>
            <w:noWrap/>
            <w:vAlign w:val="center"/>
          </w:tcPr>
          <w:p>
            <w:pPr>
              <w:pStyle w:val="6"/>
              <w:spacing w:line="400" w:lineRule="exact"/>
              <w:jc w:val="center"/>
              <w:rPr>
                <w:b/>
                <w:bCs/>
                <w:spacing w:val="0"/>
                <w:kern w:val="0"/>
                <w:lang w:eastAsia="zh-CN"/>
              </w:rPr>
            </w:pPr>
            <w:r>
              <w:rPr>
                <w:rFonts w:hint="eastAsia"/>
                <w:b/>
                <w:bCs/>
                <w:spacing w:val="0"/>
                <w:kern w:val="0"/>
                <w:lang w:eastAsia="zh-CN"/>
              </w:rPr>
              <w:t>乡镇</w:t>
            </w:r>
          </w:p>
        </w:tc>
        <w:tc>
          <w:tcPr>
            <w:tcW w:w="4400" w:type="pct"/>
            <w:gridSpan w:val="10"/>
            <w:noWrap/>
          </w:tcPr>
          <w:p>
            <w:pPr>
              <w:pStyle w:val="6"/>
              <w:spacing w:line="400" w:lineRule="exact"/>
              <w:jc w:val="center"/>
              <w:rPr>
                <w:b/>
                <w:bCs/>
                <w:spacing w:val="0"/>
                <w:kern w:val="0"/>
                <w:lang w:eastAsia="zh-CN"/>
              </w:rPr>
            </w:pPr>
            <w:r>
              <w:rPr>
                <w:rFonts w:hint="eastAsia"/>
                <w:b/>
                <w:bCs/>
                <w:spacing w:val="0"/>
                <w:kern w:val="0"/>
                <w:lang w:eastAsia="zh-CN"/>
              </w:rPr>
              <w:t>耕地质量等级面积（亩）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noWrap/>
          </w:tcPr>
          <w:p>
            <w:pPr>
              <w:pStyle w:val="6"/>
              <w:spacing w:line="400" w:lineRule="exact"/>
              <w:jc w:val="center"/>
              <w:rPr>
                <w:b/>
                <w:bCs/>
                <w:spacing w:val="0"/>
                <w:kern w:val="0"/>
                <w:lang w:eastAsia="zh-CN"/>
              </w:rPr>
            </w:pPr>
          </w:p>
        </w:tc>
        <w:tc>
          <w:tcPr>
            <w:tcW w:w="432" w:type="pct"/>
            <w:noWrap/>
            <w:vAlign w:val="center"/>
          </w:tcPr>
          <w:p>
            <w:pPr>
              <w:pStyle w:val="6"/>
              <w:spacing w:line="400" w:lineRule="exact"/>
              <w:jc w:val="center"/>
              <w:rPr>
                <w:b/>
                <w:bCs/>
                <w:spacing w:val="0"/>
                <w:kern w:val="0"/>
                <w:lang w:eastAsia="zh-CN"/>
              </w:rPr>
            </w:pPr>
            <w:r>
              <w:rPr>
                <w:rFonts w:hint="eastAsia"/>
                <w:b/>
                <w:bCs/>
                <w:spacing w:val="0"/>
                <w:kern w:val="0"/>
                <w:lang w:eastAsia="zh-CN"/>
              </w:rPr>
              <w:t>1等地</w:t>
            </w:r>
          </w:p>
        </w:tc>
        <w:tc>
          <w:tcPr>
            <w:tcW w:w="380" w:type="pct"/>
            <w:noWrap/>
            <w:vAlign w:val="center"/>
          </w:tcPr>
          <w:p>
            <w:pPr>
              <w:pStyle w:val="6"/>
              <w:spacing w:line="400" w:lineRule="exact"/>
              <w:jc w:val="center"/>
              <w:rPr>
                <w:b/>
                <w:bCs/>
                <w:spacing w:val="0"/>
                <w:kern w:val="0"/>
                <w:lang w:eastAsia="zh-CN"/>
              </w:rPr>
            </w:pPr>
            <w:r>
              <w:rPr>
                <w:rFonts w:hint="eastAsia"/>
                <w:b/>
                <w:bCs/>
                <w:spacing w:val="0"/>
                <w:kern w:val="0"/>
                <w:lang w:eastAsia="zh-CN"/>
              </w:rPr>
              <w:t>2等地</w:t>
            </w:r>
          </w:p>
        </w:tc>
        <w:tc>
          <w:tcPr>
            <w:tcW w:w="491" w:type="pct"/>
            <w:noWrap/>
            <w:vAlign w:val="center"/>
          </w:tcPr>
          <w:p>
            <w:pPr>
              <w:pStyle w:val="6"/>
              <w:spacing w:line="400" w:lineRule="exact"/>
              <w:jc w:val="center"/>
              <w:rPr>
                <w:b/>
                <w:bCs/>
                <w:spacing w:val="0"/>
                <w:kern w:val="0"/>
                <w:lang w:eastAsia="zh-CN"/>
              </w:rPr>
            </w:pPr>
            <w:r>
              <w:rPr>
                <w:rFonts w:hint="eastAsia"/>
                <w:b/>
                <w:bCs/>
                <w:spacing w:val="0"/>
                <w:kern w:val="0"/>
                <w:lang w:eastAsia="zh-CN"/>
              </w:rPr>
              <w:t>3等地</w:t>
            </w:r>
          </w:p>
        </w:tc>
        <w:tc>
          <w:tcPr>
            <w:tcW w:w="458" w:type="pct"/>
            <w:noWrap/>
            <w:vAlign w:val="center"/>
          </w:tcPr>
          <w:p>
            <w:pPr>
              <w:pStyle w:val="6"/>
              <w:spacing w:line="400" w:lineRule="exact"/>
              <w:jc w:val="center"/>
              <w:rPr>
                <w:b/>
                <w:bCs/>
                <w:spacing w:val="0"/>
                <w:kern w:val="0"/>
                <w:lang w:eastAsia="zh-CN"/>
              </w:rPr>
            </w:pPr>
            <w:r>
              <w:rPr>
                <w:rFonts w:hint="eastAsia"/>
                <w:b/>
                <w:bCs/>
                <w:spacing w:val="0"/>
                <w:kern w:val="0"/>
                <w:lang w:eastAsia="zh-CN"/>
              </w:rPr>
              <w:t>4等地</w:t>
            </w:r>
          </w:p>
        </w:tc>
        <w:tc>
          <w:tcPr>
            <w:tcW w:w="471" w:type="pct"/>
            <w:noWrap/>
            <w:vAlign w:val="center"/>
          </w:tcPr>
          <w:p>
            <w:pPr>
              <w:pStyle w:val="6"/>
              <w:spacing w:line="400" w:lineRule="exact"/>
              <w:jc w:val="center"/>
              <w:rPr>
                <w:b/>
                <w:bCs/>
                <w:spacing w:val="0"/>
                <w:kern w:val="0"/>
                <w:lang w:eastAsia="zh-CN"/>
              </w:rPr>
            </w:pPr>
            <w:r>
              <w:rPr>
                <w:rFonts w:hint="eastAsia"/>
                <w:b/>
                <w:bCs/>
                <w:spacing w:val="0"/>
                <w:kern w:val="0"/>
                <w:lang w:eastAsia="zh-CN"/>
              </w:rPr>
              <w:t>5等地</w:t>
            </w:r>
          </w:p>
        </w:tc>
        <w:tc>
          <w:tcPr>
            <w:tcW w:w="439" w:type="pct"/>
            <w:noWrap/>
            <w:vAlign w:val="center"/>
          </w:tcPr>
          <w:p>
            <w:pPr>
              <w:pStyle w:val="6"/>
              <w:spacing w:line="400" w:lineRule="exact"/>
              <w:jc w:val="center"/>
              <w:rPr>
                <w:b/>
                <w:bCs/>
                <w:spacing w:val="0"/>
                <w:kern w:val="0"/>
                <w:lang w:eastAsia="zh-CN"/>
              </w:rPr>
            </w:pPr>
            <w:r>
              <w:rPr>
                <w:rFonts w:hint="eastAsia"/>
                <w:b/>
                <w:bCs/>
                <w:spacing w:val="0"/>
                <w:kern w:val="0"/>
                <w:lang w:eastAsia="zh-CN"/>
              </w:rPr>
              <w:t>6等地</w:t>
            </w:r>
          </w:p>
        </w:tc>
        <w:tc>
          <w:tcPr>
            <w:tcW w:w="432" w:type="pct"/>
            <w:noWrap/>
            <w:vAlign w:val="center"/>
          </w:tcPr>
          <w:p>
            <w:pPr>
              <w:pStyle w:val="6"/>
              <w:spacing w:line="400" w:lineRule="exact"/>
              <w:jc w:val="center"/>
              <w:rPr>
                <w:b/>
                <w:bCs/>
                <w:spacing w:val="0"/>
                <w:kern w:val="0"/>
                <w:lang w:eastAsia="zh-CN"/>
              </w:rPr>
            </w:pPr>
            <w:r>
              <w:rPr>
                <w:rFonts w:hint="eastAsia"/>
                <w:b/>
                <w:bCs/>
                <w:spacing w:val="0"/>
                <w:kern w:val="0"/>
                <w:lang w:eastAsia="zh-CN"/>
              </w:rPr>
              <w:t>7等地</w:t>
            </w:r>
          </w:p>
        </w:tc>
        <w:tc>
          <w:tcPr>
            <w:tcW w:w="439" w:type="pct"/>
            <w:noWrap/>
            <w:vAlign w:val="center"/>
          </w:tcPr>
          <w:p>
            <w:pPr>
              <w:pStyle w:val="6"/>
              <w:spacing w:line="400" w:lineRule="exact"/>
              <w:jc w:val="center"/>
              <w:rPr>
                <w:b/>
                <w:bCs/>
                <w:spacing w:val="0"/>
                <w:kern w:val="0"/>
                <w:lang w:eastAsia="zh-CN"/>
              </w:rPr>
            </w:pPr>
            <w:r>
              <w:rPr>
                <w:rFonts w:hint="eastAsia"/>
                <w:b/>
                <w:bCs/>
                <w:spacing w:val="0"/>
                <w:kern w:val="0"/>
                <w:lang w:eastAsia="zh-CN"/>
              </w:rPr>
              <w:t>8等地</w:t>
            </w:r>
          </w:p>
        </w:tc>
        <w:tc>
          <w:tcPr>
            <w:tcW w:w="439" w:type="pct"/>
            <w:noWrap/>
            <w:vAlign w:val="center"/>
          </w:tcPr>
          <w:p>
            <w:pPr>
              <w:pStyle w:val="6"/>
              <w:spacing w:line="400" w:lineRule="exact"/>
              <w:jc w:val="center"/>
              <w:rPr>
                <w:b/>
                <w:bCs/>
                <w:spacing w:val="0"/>
                <w:kern w:val="0"/>
                <w:lang w:eastAsia="zh-CN"/>
              </w:rPr>
            </w:pPr>
            <w:r>
              <w:rPr>
                <w:rFonts w:hint="eastAsia"/>
                <w:b/>
                <w:bCs/>
                <w:spacing w:val="0"/>
                <w:kern w:val="0"/>
                <w:lang w:eastAsia="zh-CN"/>
              </w:rPr>
              <w:t>9等地</w:t>
            </w:r>
          </w:p>
        </w:tc>
        <w:tc>
          <w:tcPr>
            <w:tcW w:w="414" w:type="pct"/>
            <w:noWrap/>
            <w:vAlign w:val="center"/>
          </w:tcPr>
          <w:p>
            <w:pPr>
              <w:pStyle w:val="6"/>
              <w:spacing w:line="400" w:lineRule="exact"/>
              <w:jc w:val="center"/>
              <w:rPr>
                <w:b/>
                <w:bCs/>
                <w:spacing w:val="0"/>
                <w:kern w:val="0"/>
                <w:lang w:eastAsia="zh-CN"/>
              </w:rPr>
            </w:pPr>
            <w:r>
              <w:rPr>
                <w:rFonts w:hint="eastAsia"/>
                <w:b/>
                <w:bCs/>
                <w:spacing w:val="0"/>
                <w:kern w:val="0"/>
                <w:lang w:eastAsia="zh-CN"/>
              </w:rPr>
              <w:t>10等地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白沙街道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0.90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58.80 </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122.40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陈大镇</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774.60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9.45 </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785.85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181.95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1531.50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2165.25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833.70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28.35 </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29.55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城关街道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17.85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37.50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138.75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富兴堡街道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15.90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321.30 </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172.65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41.10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荆西堡街道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129.30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535.65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54.75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38.25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38.85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列东街道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15.15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189.00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4.50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列西街道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1.35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6.00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1.50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223.20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620.85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264.60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32.40 </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莘口镇</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694.05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249.15 </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543.00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1648.50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2049.75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3231.75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344.25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141.30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797.10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徐碧街道</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76.95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514.50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185.70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780.45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259.05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岩前镇</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5627.70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2700.75 </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2857.95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1658.70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7111.95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2092.95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37.80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46.95 </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464.40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洋溪镇</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375.60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2025.75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1494.60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2601.00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647.40 </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1178.70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中村乡</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434.25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168.45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2739.00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706.35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4203.75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578.85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308.10 </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6364.50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9" w:type="pct"/>
            <w:noWrap/>
            <w:vAlign w:val="center"/>
          </w:tcPr>
          <w:p>
            <w:pPr>
              <w:pStyle w:val="6"/>
              <w:spacing w:line="400" w:lineRule="exact"/>
              <w:jc w:val="center"/>
              <w:rPr>
                <w:spacing w:val="0"/>
                <w:kern w:val="0"/>
                <w:lang w:eastAsia="zh-CN"/>
              </w:rPr>
            </w:pPr>
            <w:r>
              <w:rPr>
                <w:rFonts w:hint="eastAsia"/>
                <w:spacing w:val="0"/>
                <w:kern w:val="0"/>
                <w:lang w:eastAsia="zh-CN"/>
              </w:rPr>
              <w:t>总计</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7243.80 </w:t>
            </w:r>
          </w:p>
        </w:tc>
        <w:tc>
          <w:tcPr>
            <w:tcW w:w="1087"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3339.30 </w:t>
            </w:r>
          </w:p>
        </w:tc>
        <w:tc>
          <w:tcPr>
            <w:tcW w:w="1405"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5552.55 </w:t>
            </w:r>
          </w:p>
        </w:tc>
        <w:tc>
          <w:tcPr>
            <w:tcW w:w="1310"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4604.10 </w:t>
            </w:r>
          </w:p>
        </w:tc>
        <w:tc>
          <w:tcPr>
            <w:tcW w:w="1348"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15998.70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11458.80 </w:t>
            </w:r>
          </w:p>
        </w:tc>
        <w:tc>
          <w:tcPr>
            <w:tcW w:w="123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8548.80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720.15 </w:t>
            </w:r>
          </w:p>
        </w:tc>
        <w:tc>
          <w:tcPr>
            <w:tcW w:w="1256"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1063.20 </w:t>
            </w:r>
          </w:p>
        </w:tc>
        <w:tc>
          <w:tcPr>
            <w:tcW w:w="1199" w:type="dxa"/>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 xml:space="preserve">8834.25 </w:t>
            </w:r>
          </w:p>
        </w:tc>
      </w:tr>
    </w:tbl>
    <w:p>
      <w:pPr>
        <w:pStyle w:val="6"/>
        <w:rPr>
          <w:b/>
          <w:bCs/>
        </w:rPr>
        <w:sectPr>
          <w:pgSz w:w="16920" w:h="12050" w:orient="landscape"/>
          <w:pgMar w:top="1417" w:right="1417" w:bottom="1417" w:left="1417" w:header="850" w:footer="1020" w:gutter="0"/>
          <w:cols w:space="720" w:num="1"/>
        </w:sectPr>
      </w:pPr>
    </w:p>
    <w:p>
      <w:pPr>
        <w:numPr>
          <w:ilvl w:val="0"/>
          <w:numId w:val="2"/>
        </w:numPr>
        <w:ind w:firstLine="634"/>
        <w:rPr>
          <w:b/>
          <w:bCs/>
        </w:rPr>
      </w:pPr>
      <w:r>
        <w:rPr>
          <w:b/>
          <w:bCs/>
        </w:rPr>
        <w:t>高标准农田投入标准偏低。</w:t>
      </w:r>
    </w:p>
    <w:p>
      <w:pPr>
        <w:ind w:firstLine="632"/>
      </w:pPr>
      <w:r>
        <w:t>随着物价水平上涨</w:t>
      </w:r>
      <w:r>
        <w:rPr>
          <w:rFonts w:hint="eastAsia"/>
        </w:rPr>
        <w:t>、</w:t>
      </w:r>
      <w:r>
        <w:t>农村劳动力工资不断提高</w:t>
      </w:r>
      <w:r>
        <w:rPr>
          <w:rFonts w:hint="eastAsia"/>
        </w:rPr>
        <w:t>，</w:t>
      </w:r>
      <w:r>
        <w:t>砂石等建筑材料价格逐年上涨</w:t>
      </w:r>
      <w:r>
        <w:rPr>
          <w:rFonts w:hint="eastAsia"/>
        </w:rPr>
        <w:t>，</w:t>
      </w:r>
      <w:r>
        <w:t>高标准农田建设成本也随之上升</w:t>
      </w:r>
      <w:r>
        <w:rPr>
          <w:rFonts w:hint="eastAsia"/>
        </w:rPr>
        <w:t>，</w:t>
      </w:r>
      <w:r>
        <w:t>现有财政投资标准达到1600元/亩</w:t>
      </w:r>
      <w:r>
        <w:rPr>
          <w:rFonts w:hint="eastAsia"/>
        </w:rPr>
        <w:t>（中央预算内投资的高标准农田建设项目亩补助仅1320元左右），2023年之后财政投资标准达到2400</w:t>
      </w:r>
      <w:r>
        <w:t>元/亩</w:t>
      </w:r>
      <w:r>
        <w:rPr>
          <w:rFonts w:hint="eastAsia"/>
        </w:rPr>
        <w:t>，</w:t>
      </w:r>
      <w:r>
        <w:t>部分县地方财政配套加大投入</w:t>
      </w:r>
      <w:r>
        <w:rPr>
          <w:rFonts w:hint="eastAsia"/>
        </w:rPr>
        <w:t>，</w:t>
      </w:r>
      <w:r>
        <w:t>提高建设标准</w:t>
      </w:r>
      <w:r>
        <w:rPr>
          <w:rFonts w:hint="eastAsia"/>
        </w:rPr>
        <w:t>，</w:t>
      </w:r>
      <w:r>
        <w:t>但仍难以满足高标准农田建设的实际需要。</w:t>
      </w:r>
    </w:p>
    <w:p>
      <w:pPr>
        <w:numPr>
          <w:ilvl w:val="0"/>
          <w:numId w:val="2"/>
        </w:numPr>
        <w:ind w:firstLine="634"/>
        <w:rPr>
          <w:b/>
          <w:bCs/>
        </w:rPr>
      </w:pPr>
      <w:r>
        <w:rPr>
          <w:b/>
          <w:bCs/>
        </w:rPr>
        <w:t>高标准农田建设新增耕地和资源化利用还需进一步统筹。</w:t>
      </w:r>
    </w:p>
    <w:p>
      <w:pPr>
        <w:ind w:firstLine="632"/>
      </w:pPr>
      <w:r>
        <w:rPr>
          <w:rFonts w:hint="eastAsia"/>
        </w:rPr>
        <w:t>我区山多地少，耕地布局分散，坡度较大，经过多年高标准农田的建设，坡度较缓，大规模集中连片的优质耕地绝大部分已实施过土地整理、高标准农田建设等项目，通过实施高标准农田建设方式补充耕地的资源空间十分有限，高标准农田建设出地率越来越低。各地在建设高标准农田时，均缺乏将此和畜禽养殖粪污资源化利用以及农村生活污水治理尾水还田还林结合起来的思路、做法，需进一步强化统筹衔接。</w:t>
      </w:r>
    </w:p>
    <w:p>
      <w:pPr>
        <w:numPr>
          <w:ilvl w:val="0"/>
          <w:numId w:val="2"/>
        </w:numPr>
        <w:ind w:firstLine="634"/>
        <w:rPr>
          <w:b/>
          <w:bCs/>
        </w:rPr>
      </w:pPr>
      <w:r>
        <w:rPr>
          <w:b/>
          <w:bCs/>
        </w:rPr>
        <w:t>已建农田进一步改造提升的需求迫切。</w:t>
      </w:r>
    </w:p>
    <w:p>
      <w:pPr>
        <w:ind w:firstLine="632"/>
      </w:pPr>
      <w:r>
        <w:rPr>
          <w:rFonts w:hint="eastAsia"/>
        </w:rPr>
        <w:t>“</w:t>
      </w:r>
      <w:r>
        <w:t>十二五”以来，</w:t>
      </w:r>
      <w:r>
        <w:rPr>
          <w:rFonts w:hint="eastAsia"/>
        </w:rPr>
        <w:t>区级</w:t>
      </w:r>
      <w:r>
        <w:t>各部门在高标准农田建设项目实施中,主要依据资金规模确定建设内容和建设标准，其中多数标准偏低，与实际需要差距较大,致使农田基础设施使用寿命短、整体功能得不到充分发挥。同时，受到自然灾害破坏、耕种积极性等因素影响</w:t>
      </w:r>
      <w:r>
        <w:rPr>
          <w:rFonts w:hint="eastAsia"/>
        </w:rPr>
        <w:t>，</w:t>
      </w:r>
      <w:r>
        <w:t>部分已建成高标准农田区域，基础设施存在损毁问题，早期建设</w:t>
      </w:r>
      <w:r>
        <w:rPr>
          <w:rFonts w:hint="eastAsia"/>
        </w:rPr>
        <w:t>的</w:t>
      </w:r>
      <w:r>
        <w:t>已接近使用寿命，老化、损毁问题较为突出，亟需改造提升。</w:t>
      </w:r>
    </w:p>
    <w:p>
      <w:pPr>
        <w:numPr>
          <w:ilvl w:val="0"/>
          <w:numId w:val="2"/>
        </w:numPr>
        <w:ind w:firstLine="634"/>
        <w:rPr>
          <w:b/>
          <w:bCs/>
        </w:rPr>
      </w:pPr>
      <w:r>
        <w:rPr>
          <w:b/>
          <w:bCs/>
        </w:rPr>
        <w:t>建后管护亟待进一步加强。</w:t>
      </w:r>
    </w:p>
    <w:p>
      <w:pPr>
        <w:ind w:firstLine="632"/>
      </w:pPr>
      <w:r>
        <w:t>农田建设三分建</w:t>
      </w:r>
      <w:r>
        <w:rPr>
          <w:rFonts w:hint="eastAsia"/>
        </w:rPr>
        <w:t>、</w:t>
      </w:r>
      <w:r>
        <w:t>七分管</w:t>
      </w:r>
      <w:r>
        <w:rPr>
          <w:rFonts w:hint="eastAsia"/>
        </w:rPr>
        <w:t>。</w:t>
      </w:r>
      <w:r>
        <w:t>由于高标准农田建设项目资金有限，对发现的农田水利及农村道路等基础设施损坏、机电设备被盜等问题只能向上级反映，不能主动组织修缮修复工作，影响了高标准农田建设效益的发挥。同时，由于缺乏有关高标准农田的地类管控机制，导致已建高标准农田中“非农化”、“非粮化”现象普遍存在。</w:t>
      </w:r>
      <w:r>
        <w:rPr>
          <w:rFonts w:hint="eastAsia"/>
        </w:rPr>
        <w:t>诸多原因</w:t>
      </w:r>
      <w:r>
        <w:rPr>
          <w:rFonts w:hint="eastAsia" w:ascii="仿宋_GB2312"/>
          <w:color w:val="000000"/>
        </w:rPr>
        <w:t>导致农田不同程度损毁，这些都影响高标准农田工程持续发挥功能。</w:t>
      </w:r>
    </w:p>
    <w:p>
      <w:pPr>
        <w:numPr>
          <w:ilvl w:val="0"/>
          <w:numId w:val="2"/>
        </w:numPr>
        <w:ind w:firstLine="634"/>
        <w:rPr>
          <w:b/>
          <w:bCs/>
        </w:rPr>
      </w:pPr>
      <w:r>
        <w:rPr>
          <w:b/>
          <w:bCs/>
        </w:rPr>
        <w:t>绿色农田建设水平有待提升。</w:t>
      </w:r>
    </w:p>
    <w:p>
      <w:pPr>
        <w:ind w:firstLine="632"/>
      </w:pPr>
      <w:r>
        <w:t>从多年实施情况看</w:t>
      </w:r>
      <w:r>
        <w:rPr>
          <w:rFonts w:hint="eastAsia"/>
        </w:rPr>
        <w:t>，</w:t>
      </w:r>
      <w:r>
        <w:t>高标准农田建设过程中</w:t>
      </w:r>
      <w:r>
        <w:rPr>
          <w:rFonts w:hint="eastAsia"/>
        </w:rPr>
        <w:t>，</w:t>
      </w:r>
      <w:r>
        <w:t>存在生态观念淡薄的现象</w:t>
      </w:r>
      <w:r>
        <w:rPr>
          <w:rFonts w:hint="eastAsia"/>
        </w:rPr>
        <w:t>，</w:t>
      </w:r>
      <w:r>
        <w:t>盲目追求新增耕地面积随意填埋沟渠坑塘</w:t>
      </w:r>
      <w:r>
        <w:rPr>
          <w:rFonts w:hint="eastAsia"/>
        </w:rPr>
        <w:t>，</w:t>
      </w:r>
      <w:r>
        <w:t>为农业生产耕作便捷过度硬化沟渠道</w:t>
      </w:r>
      <w:bookmarkStart w:id="111" w:name="_bookmark1"/>
      <w:bookmarkEnd w:id="111"/>
      <w:r>
        <w:t>路</w:t>
      </w:r>
      <w:r>
        <w:rPr>
          <w:rFonts w:hint="eastAsia"/>
        </w:rPr>
        <w:t>，</w:t>
      </w:r>
      <w:r>
        <w:t>不够注重农田生态环境的保护</w:t>
      </w:r>
      <w:r>
        <w:rPr>
          <w:rFonts w:hint="eastAsia"/>
        </w:rPr>
        <w:t>。</w:t>
      </w:r>
      <w:r>
        <w:t>高标准农田建成后</w:t>
      </w:r>
      <w:r>
        <w:rPr>
          <w:rFonts w:hint="eastAsia"/>
        </w:rPr>
        <w:t>，</w:t>
      </w:r>
      <w:r>
        <w:t>农业绿色发展意识不强</w:t>
      </w:r>
      <w:r>
        <w:rPr>
          <w:rFonts w:hint="eastAsia"/>
        </w:rPr>
        <w:t>，</w:t>
      </w:r>
      <w:r>
        <w:t>仍然是传统粗放的生产方式</w:t>
      </w:r>
      <w:r>
        <w:rPr>
          <w:rFonts w:hint="eastAsia"/>
        </w:rPr>
        <w:t>，</w:t>
      </w:r>
      <w:r>
        <w:t>农业生产资源利用不够节约高效</w:t>
      </w:r>
      <w:r>
        <w:rPr>
          <w:rFonts w:hint="eastAsia"/>
        </w:rPr>
        <w:t>，</w:t>
      </w:r>
      <w:r>
        <w:t>农业生产过程环境友好程度还不高</w:t>
      </w:r>
      <w:r>
        <w:rPr>
          <w:rFonts w:hint="eastAsia"/>
        </w:rPr>
        <w:t>，</w:t>
      </w:r>
      <w:r>
        <w:t>农田面源污染</w:t>
      </w:r>
      <w:r>
        <w:rPr>
          <w:rFonts w:hint="eastAsia"/>
        </w:rPr>
        <w:t>、</w:t>
      </w:r>
      <w:r>
        <w:t>生态系统退化等问题没有根本解决</w:t>
      </w:r>
      <w:r>
        <w:rPr>
          <w:rFonts w:hint="eastAsia"/>
        </w:rPr>
        <w:t>，</w:t>
      </w:r>
      <w:r>
        <w:t>高标准农田引领现代农业绿色发展的作用没有充分体现。</w:t>
      </w:r>
    </w:p>
    <w:p>
      <w:pPr>
        <w:pStyle w:val="5"/>
        <w:spacing w:before="72" w:after="72"/>
        <w:rPr>
          <w:kern w:val="0"/>
        </w:rPr>
      </w:pPr>
      <w:bookmarkStart w:id="112" w:name="_Toc24483"/>
      <w:bookmarkStart w:id="113" w:name="_Toc22509"/>
      <w:bookmarkStart w:id="114" w:name="_Toc15531"/>
      <w:r>
        <w:rPr>
          <w:kern w:val="0"/>
        </w:rPr>
        <w:t>第</w:t>
      </w:r>
      <w:r>
        <w:rPr>
          <w:rFonts w:hint="eastAsia"/>
          <w:kern w:val="0"/>
          <w:lang w:eastAsia="zh-CN"/>
        </w:rPr>
        <w:t>四</w:t>
      </w:r>
      <w:r>
        <w:rPr>
          <w:kern w:val="0"/>
        </w:rPr>
        <w:t>节有利条件</w:t>
      </w:r>
      <w:bookmarkEnd w:id="112"/>
      <w:bookmarkEnd w:id="113"/>
      <w:bookmarkEnd w:id="114"/>
    </w:p>
    <w:p>
      <w:pPr>
        <w:numPr>
          <w:ilvl w:val="0"/>
          <w:numId w:val="3"/>
        </w:numPr>
        <w:ind w:firstLine="634"/>
      </w:pPr>
      <w:r>
        <w:rPr>
          <w:b/>
          <w:bCs/>
        </w:rPr>
        <w:t>党和政府高度重视。</w:t>
      </w:r>
    </w:p>
    <w:p>
      <w:pPr>
        <w:ind w:firstLine="632"/>
      </w:pPr>
      <w:r>
        <w:t>习近平总书记多次作出重要指示，保障粮食安全</w:t>
      </w:r>
      <w:r>
        <w:rPr>
          <w:rFonts w:hint="eastAsia"/>
        </w:rPr>
        <w:t>，</w:t>
      </w:r>
      <w:r>
        <w:t>关键是要保粮食生产能力</w:t>
      </w:r>
      <w:r>
        <w:rPr>
          <w:rFonts w:hint="eastAsia"/>
        </w:rPr>
        <w:t>，</w:t>
      </w:r>
      <w:r>
        <w:t>确保需要时能产得出</w:t>
      </w:r>
      <w:r>
        <w:rPr>
          <w:rFonts w:hint="eastAsia"/>
        </w:rPr>
        <w:t>、</w:t>
      </w:r>
      <w:r>
        <w:t>供得上</w:t>
      </w:r>
      <w:r>
        <w:rPr>
          <w:rFonts w:hint="eastAsia"/>
        </w:rPr>
        <w:t>，</w:t>
      </w:r>
      <w:r>
        <w:t>在保护好耕地特别是基本农田的基础上</w:t>
      </w:r>
      <w:r>
        <w:rPr>
          <w:rFonts w:hint="eastAsia"/>
        </w:rPr>
        <w:t>，</w:t>
      </w:r>
      <w:r>
        <w:t>大规模开展高标准农田建设</w:t>
      </w:r>
      <w:r>
        <w:rPr>
          <w:rFonts w:hint="eastAsia"/>
        </w:rPr>
        <w:t>。</w:t>
      </w:r>
      <w:r>
        <w:t>李克强总理多次作出专门批示</w:t>
      </w:r>
      <w:r>
        <w:rPr>
          <w:rFonts w:hint="eastAsia"/>
        </w:rPr>
        <w:t>，</w:t>
      </w:r>
      <w:r>
        <w:t>强调要实施好</w:t>
      </w:r>
      <w:r>
        <w:rPr>
          <w:rFonts w:hint="eastAsia"/>
        </w:rPr>
        <w:t>“</w:t>
      </w:r>
      <w:r>
        <w:t>藏粮于地</w:t>
      </w:r>
      <w:r>
        <w:rPr>
          <w:rFonts w:hint="eastAsia"/>
        </w:rPr>
        <w:t>、</w:t>
      </w:r>
      <w:r>
        <w:t>藏粮于技</w:t>
      </w:r>
      <w:r>
        <w:rPr>
          <w:rFonts w:hint="eastAsia"/>
        </w:rPr>
        <w:t>”</w:t>
      </w:r>
      <w:r>
        <w:t>战略</w:t>
      </w:r>
      <w:r>
        <w:rPr>
          <w:rFonts w:hint="eastAsia"/>
        </w:rPr>
        <w:t>，</w:t>
      </w:r>
      <w:r>
        <w:t>加强规划布局</w:t>
      </w:r>
      <w:r>
        <w:rPr>
          <w:rFonts w:hint="eastAsia"/>
        </w:rPr>
        <w:t>，</w:t>
      </w:r>
      <w:r>
        <w:t>把高标准农田建设摆在更加突出的位置</w:t>
      </w:r>
      <w:r>
        <w:rPr>
          <w:rFonts w:hint="eastAsia"/>
        </w:rPr>
        <w:t>，</w:t>
      </w:r>
      <w:r>
        <w:t>作为落实粮食安全省长责任制的重要内容</w:t>
      </w:r>
      <w:r>
        <w:rPr>
          <w:rFonts w:hint="eastAsia"/>
        </w:rPr>
        <w:t>，</w:t>
      </w:r>
      <w:r>
        <w:t>扎实推进建设</w:t>
      </w:r>
      <w:r>
        <w:rPr>
          <w:rFonts w:hint="eastAsia"/>
        </w:rPr>
        <w:t>，</w:t>
      </w:r>
      <w:r>
        <w:t>健全农田管护机制。</w:t>
      </w:r>
      <w:r>
        <w:rPr>
          <w:rFonts w:hint="eastAsia"/>
        </w:rPr>
        <w:t>党的十九届五中全会、中央经济工作会议、中央农村工作会议及连续多年的中央一号文件对高标准农田建设提出明确要求，《国务院办公厅关于切实加强高标准农田建设提升国家粮食安全保障能力的意见》作出系统部署，为大力推进高标准农田建设提供了政策保障。三元区委、区政府认真贯彻落实中央决策部署，将高标准农田建设放在全区</w:t>
      </w:r>
      <w:r>
        <w:t>“</w:t>
      </w:r>
      <w:r>
        <w:rPr>
          <w:rFonts w:hint="eastAsia"/>
        </w:rPr>
        <w:t>三农</w:t>
      </w:r>
      <w:r>
        <w:t>”</w:t>
      </w:r>
      <w:r>
        <w:rPr>
          <w:rFonts w:hint="eastAsia"/>
        </w:rPr>
        <w:t>工作全局中谋划推动，全方位推进、大规模开展、高质量要求，深入落实</w:t>
      </w:r>
      <w:r>
        <w:t>“</w:t>
      </w:r>
      <w:r>
        <w:rPr>
          <w:rFonts w:hint="eastAsia"/>
        </w:rPr>
        <w:t>藏粮于地、藏粮于技</w:t>
      </w:r>
      <w:r>
        <w:t>”</w:t>
      </w:r>
      <w:r>
        <w:rPr>
          <w:rFonts w:hint="eastAsia"/>
        </w:rPr>
        <w:t>战略。</w:t>
      </w:r>
    </w:p>
    <w:p>
      <w:pPr>
        <w:numPr>
          <w:ilvl w:val="0"/>
          <w:numId w:val="3"/>
        </w:numPr>
        <w:ind w:firstLine="634"/>
        <w:rPr>
          <w:b/>
          <w:bCs/>
        </w:rPr>
      </w:pPr>
      <w:r>
        <w:rPr>
          <w:b/>
          <w:bCs/>
        </w:rPr>
        <w:t>处于重要的战略机遇期。</w:t>
      </w:r>
    </w:p>
    <w:p>
      <w:pPr>
        <w:ind w:firstLine="632"/>
      </w:pPr>
      <w:r>
        <w:rPr>
          <w:rFonts w:hint="eastAsia" w:ascii="仿宋_GB2312" w:cs="宋体"/>
          <w:color w:val="000000"/>
        </w:rPr>
        <w:t>党的十九大提出了实施乡村振兴战略的重大历史任务。实施乡村振兴战略，首要任务是确保重要农产品特别是粮食供给，必须坚持以我为主、立足国内、确保产能、适度进口、科技支撑的国家粮食安全战略，持续巩固和提升粮食生产能力，建立全方位的粮食安全保障机制。</w:t>
      </w:r>
      <w:r>
        <w:rPr>
          <w:rFonts w:hint="eastAsia"/>
        </w:rPr>
        <w:t>我市把农田建设作</w:t>
      </w:r>
      <w:r>
        <w:t>为农业农村发展的重要组成部分和推进农业农村现代化的重要基</w:t>
      </w:r>
      <w:r>
        <w:rPr>
          <w:rFonts w:hint="eastAsia"/>
        </w:rPr>
        <w:t>础，按照整村整乡推进，高质量发展的要求，真正将完善农田基础设施作为一项重要任务来抓，切实加强高标准农田建设，为乡村振兴发展进一步夯实基础设施条件。</w:t>
      </w:r>
    </w:p>
    <w:p>
      <w:pPr>
        <w:numPr>
          <w:ilvl w:val="0"/>
          <w:numId w:val="3"/>
        </w:numPr>
        <w:ind w:firstLine="634"/>
        <w:rPr>
          <w:b/>
          <w:bCs/>
        </w:rPr>
      </w:pPr>
      <w:r>
        <w:rPr>
          <w:b/>
          <w:bCs/>
        </w:rPr>
        <w:t>具备良好的工作基础。</w:t>
      </w:r>
    </w:p>
    <w:p>
      <w:pPr>
        <w:ind w:firstLine="632"/>
      </w:pPr>
      <w:r>
        <w:t>全面实行粮食安全责任制考核，明确党政同责保障粮食安全</w:t>
      </w:r>
      <w:r>
        <w:rPr>
          <w:rFonts w:hint="eastAsia"/>
        </w:rPr>
        <w:t>，</w:t>
      </w:r>
      <w:r>
        <w:t>为建设高标准农田提供了政治责任保障</w:t>
      </w:r>
      <w:r>
        <w:rPr>
          <w:rFonts w:hint="eastAsia"/>
        </w:rPr>
        <w:t>。我区</w:t>
      </w:r>
      <w:r>
        <w:t>各地高度重视</w:t>
      </w:r>
      <w:r>
        <w:rPr>
          <w:rFonts w:hint="eastAsia"/>
        </w:rPr>
        <w:t>，</w:t>
      </w:r>
      <w:r>
        <w:t>加快推进高标准农田建设</w:t>
      </w:r>
      <w:r>
        <w:rPr>
          <w:rFonts w:hint="eastAsia"/>
        </w:rPr>
        <w:t>，</w:t>
      </w:r>
      <w:r>
        <w:t>建立了稳定的财政投入机制</w:t>
      </w:r>
      <w:r>
        <w:rPr>
          <w:rFonts w:hint="eastAsia"/>
        </w:rPr>
        <w:t>，</w:t>
      </w:r>
      <w:r>
        <w:t>树立了示范样板工程</w:t>
      </w:r>
      <w:r>
        <w:rPr>
          <w:rFonts w:hint="eastAsia"/>
        </w:rPr>
        <w:t>，</w:t>
      </w:r>
      <w:r>
        <w:t>提升了工程技术水平</w:t>
      </w:r>
      <w:r>
        <w:rPr>
          <w:rFonts w:hint="eastAsia"/>
        </w:rPr>
        <w:t>，</w:t>
      </w:r>
      <w:r>
        <w:t>培养了专业人才队伍</w:t>
      </w:r>
      <w:r>
        <w:rPr>
          <w:rFonts w:hint="eastAsia"/>
        </w:rPr>
        <w:t>，</w:t>
      </w:r>
      <w:r>
        <w:t>积累了丰富管理经验</w:t>
      </w:r>
      <w:r>
        <w:rPr>
          <w:rFonts w:hint="eastAsia"/>
        </w:rPr>
        <w:t>，</w:t>
      </w:r>
      <w:r>
        <w:t>建成了一大批集中连片</w:t>
      </w:r>
      <w:r>
        <w:rPr>
          <w:rFonts w:hint="eastAsia"/>
        </w:rPr>
        <w:t>、</w:t>
      </w:r>
      <w:r>
        <w:t>旱涝保收</w:t>
      </w:r>
      <w:r>
        <w:rPr>
          <w:rFonts w:hint="eastAsia"/>
        </w:rPr>
        <w:t>、</w:t>
      </w:r>
      <w:r>
        <w:t>稳产高产的高标准农田</w:t>
      </w:r>
      <w:r>
        <w:rPr>
          <w:rFonts w:hint="eastAsia"/>
        </w:rPr>
        <w:t>，</w:t>
      </w:r>
      <w:r>
        <w:t>为高质量实施高标准农田建设提供了丰富的实践经验。</w:t>
      </w:r>
    </w:p>
    <w:p>
      <w:pPr>
        <w:numPr>
          <w:ilvl w:val="0"/>
          <w:numId w:val="3"/>
        </w:numPr>
        <w:ind w:firstLine="634"/>
        <w:rPr>
          <w:b/>
          <w:bCs/>
        </w:rPr>
      </w:pPr>
      <w:r>
        <w:rPr>
          <w:b/>
          <w:bCs/>
        </w:rPr>
        <w:t>形成良好的群众基础。</w:t>
      </w:r>
    </w:p>
    <w:p>
      <w:pPr>
        <w:ind w:firstLine="632"/>
      </w:pPr>
      <w:r>
        <w:t>近年来，随着高标准农田的建设，部分区域形成“路相通、旱能灌、涝能排、旱涝保收”的高标准农田，极大改善农业生产环境，提高农业生产效率，农户收入大大提高。随着建设效益的呈现，以及政策补贴的加大，周边区域的参与高标准农田的热情提高，高标准农田项目落地阻力减少。</w:t>
      </w:r>
      <w:r>
        <w:rPr>
          <w:rFonts w:hint="eastAsia"/>
        </w:rPr>
        <w:t>高标准农田建设能够提高粮食亩均生产能力，拓宽农民收入渠道，增加农民收入，促进农业绿色发展，美化农田生态环境，提升农业综合效益。高标准农田建设是事关国家粮食安全、社会经济稳定的战略性工程，是事关农民增收、乡村产业兴旺的公益性工程，是事关农村田园优美、农村生态文明的战略性工程，社会各界高度认同，农民群众热烈欢迎、参与建设积极性高涨。</w:t>
      </w:r>
    </w:p>
    <w:p>
      <w:pPr>
        <w:ind w:firstLine="632"/>
        <w:sectPr>
          <w:pgSz w:w="12050" w:h="16920"/>
          <w:pgMar w:top="1417" w:right="1417" w:bottom="1417" w:left="1417" w:header="850" w:footer="1020" w:gutter="0"/>
          <w:cols w:space="720" w:num="1"/>
        </w:sectPr>
      </w:pPr>
    </w:p>
    <w:p>
      <w:pPr>
        <w:pStyle w:val="3"/>
      </w:pPr>
      <w:bookmarkStart w:id="115" w:name="_Toc29136"/>
      <w:bookmarkStart w:id="116" w:name="_Toc20073"/>
      <w:r>
        <w:t>第二章总体</w:t>
      </w:r>
      <w:bookmarkEnd w:id="103"/>
      <w:bookmarkEnd w:id="115"/>
      <w:r>
        <w:rPr>
          <w:rFonts w:hint="eastAsia"/>
        </w:rPr>
        <w:t>要求</w:t>
      </w:r>
      <w:bookmarkEnd w:id="116"/>
    </w:p>
    <w:p>
      <w:pPr>
        <w:pStyle w:val="5"/>
        <w:spacing w:before="72" w:after="72"/>
        <w:rPr>
          <w:kern w:val="0"/>
          <w:lang w:eastAsia="zh-CN"/>
        </w:rPr>
      </w:pPr>
      <w:bookmarkStart w:id="117" w:name="_Toc5802"/>
      <w:bookmarkStart w:id="118" w:name="_Toc13590"/>
      <w:bookmarkStart w:id="119" w:name="_Toc19473"/>
      <w:r>
        <w:rPr>
          <w:kern w:val="0"/>
          <w:lang w:eastAsia="zh-CN"/>
        </w:rPr>
        <w:t>第一节指导思想</w:t>
      </w:r>
      <w:bookmarkEnd w:id="117"/>
      <w:bookmarkEnd w:id="118"/>
      <w:bookmarkEnd w:id="119"/>
    </w:p>
    <w:p>
      <w:pPr>
        <w:ind w:firstLine="632"/>
      </w:pPr>
      <w:r>
        <w:rPr>
          <w:rFonts w:hint="eastAsia"/>
        </w:rPr>
        <w:t>坚持</w:t>
      </w:r>
      <w:r>
        <w:t>以习近平新时代中国特色社会主义思想为指导</w:t>
      </w:r>
      <w:r>
        <w:rPr>
          <w:rFonts w:hint="eastAsia"/>
        </w:rPr>
        <w:t>，</w:t>
      </w:r>
      <w:r>
        <w:t>深入贯彻党的十九大和十九届二中、三中、四中、五中全会精神</w:t>
      </w:r>
      <w:r>
        <w:rPr>
          <w:rFonts w:hint="eastAsia"/>
        </w:rPr>
        <w:t>，</w:t>
      </w:r>
      <w:r>
        <w:t>立足新发展阶段</w:t>
      </w:r>
      <w:r>
        <w:rPr>
          <w:rFonts w:hint="eastAsia"/>
        </w:rPr>
        <w:t>，</w:t>
      </w:r>
      <w:r>
        <w:t>完整、准确、全面贯彻新发展理念</w:t>
      </w:r>
      <w:r>
        <w:rPr>
          <w:rFonts w:hint="eastAsia"/>
        </w:rPr>
        <w:t>，</w:t>
      </w:r>
      <w:r>
        <w:t>构建新发展格局</w:t>
      </w:r>
      <w:r>
        <w:rPr>
          <w:rFonts w:hint="eastAsia"/>
        </w:rPr>
        <w:t>，</w:t>
      </w:r>
      <w:r>
        <w:t>全面落实中央经济工作会议和中央农村工作会议部署</w:t>
      </w:r>
      <w:r>
        <w:rPr>
          <w:rFonts w:hint="eastAsia"/>
        </w:rPr>
        <w:t>，</w:t>
      </w:r>
      <w:r>
        <w:t>紧紧围绕全面推进乡村振兴、加快农业农村现代化</w:t>
      </w:r>
      <w:r>
        <w:rPr>
          <w:rFonts w:hint="eastAsia"/>
        </w:rPr>
        <w:t>，</w:t>
      </w:r>
      <w:r>
        <w:t>以推动高质量发展为主题</w:t>
      </w:r>
      <w:r>
        <w:rPr>
          <w:rFonts w:hint="eastAsia"/>
        </w:rPr>
        <w:t>，</w:t>
      </w:r>
      <w:r>
        <w:t>深入实施藏粮于地、藏粮于技战略</w:t>
      </w:r>
      <w:r>
        <w:rPr>
          <w:rFonts w:hint="eastAsia"/>
        </w:rPr>
        <w:t>，</w:t>
      </w:r>
      <w:r>
        <w:t>立足确保谷物基本自给、口粮绝对安全</w:t>
      </w:r>
      <w:r>
        <w:rPr>
          <w:rFonts w:hint="eastAsia"/>
        </w:rPr>
        <w:t>，</w:t>
      </w:r>
      <w:r>
        <w:t>以提升粮食产能为首要目标</w:t>
      </w:r>
      <w:r>
        <w:rPr>
          <w:rFonts w:hint="eastAsia"/>
        </w:rPr>
        <w:t>，</w:t>
      </w:r>
      <w:r>
        <w:t>以农产品主产区为主体，以永久基本农田、粮食生产功能区、重要农产品生产保护区为重点区域</w:t>
      </w:r>
      <w:r>
        <w:rPr>
          <w:rFonts w:hint="eastAsia"/>
        </w:rPr>
        <w:t>，</w:t>
      </w:r>
      <w:r>
        <w:t>优先建设口粮田,坚持新增建设和改造提升并重、建设数量和建成质量并重、工程建设和建后管护并重</w:t>
      </w:r>
      <w:r>
        <w:rPr>
          <w:rFonts w:hint="eastAsia"/>
        </w:rPr>
        <w:t>，</w:t>
      </w:r>
      <w:r>
        <w:t>产能提升和绿色发展相协调</w:t>
      </w:r>
      <w:r>
        <w:rPr>
          <w:rFonts w:hint="eastAsia"/>
        </w:rPr>
        <w:t>，</w:t>
      </w:r>
      <w:r>
        <w:t>统一组织实施与分区分类施策相结合</w:t>
      </w:r>
      <w:r>
        <w:rPr>
          <w:rFonts w:hint="eastAsia"/>
        </w:rPr>
        <w:t>，</w:t>
      </w:r>
      <w:r>
        <w:t>健全中央统筹、省负总责、市县乡抓落实、群众参与的工作机制</w:t>
      </w:r>
      <w:r>
        <w:rPr>
          <w:rFonts w:hint="eastAsia"/>
        </w:rPr>
        <w:t>，</w:t>
      </w:r>
      <w:r>
        <w:t>注重提质增效</w:t>
      </w:r>
      <w:r>
        <w:rPr>
          <w:rFonts w:hint="eastAsia"/>
        </w:rPr>
        <w:t>，</w:t>
      </w:r>
      <w:r>
        <w:t>强化监督考核</w:t>
      </w:r>
      <w:r>
        <w:rPr>
          <w:rFonts w:hint="eastAsia"/>
        </w:rPr>
        <w:t>，</w:t>
      </w:r>
      <w:r>
        <w:t>实现高质量建设、高效率管理、高水平利用</w:t>
      </w:r>
      <w:r>
        <w:rPr>
          <w:rFonts w:hint="eastAsia"/>
        </w:rPr>
        <w:t>，</w:t>
      </w:r>
      <w:r>
        <w:t>切实补上农业基础设施短板</w:t>
      </w:r>
      <w:r>
        <w:rPr>
          <w:rFonts w:hint="eastAsia"/>
        </w:rPr>
        <w:t>，</w:t>
      </w:r>
      <w:r>
        <w:t>确保建一块成一块</w:t>
      </w:r>
      <w:r>
        <w:rPr>
          <w:rFonts w:hint="eastAsia"/>
        </w:rPr>
        <w:t>，</w:t>
      </w:r>
      <w:r>
        <w:t>提高水土资源利用效率</w:t>
      </w:r>
      <w:r>
        <w:rPr>
          <w:rFonts w:hint="eastAsia"/>
        </w:rPr>
        <w:t>，</w:t>
      </w:r>
      <w:r>
        <w:t>增强农田防灾抗灾减灾能力</w:t>
      </w:r>
      <w:r>
        <w:rPr>
          <w:rFonts w:hint="eastAsia"/>
        </w:rPr>
        <w:t>，</w:t>
      </w:r>
      <w:r>
        <w:t>把建成的高标准农田划为永久基本农田</w:t>
      </w:r>
      <w:r>
        <w:rPr>
          <w:rFonts w:hint="eastAsia"/>
        </w:rPr>
        <w:t>，</w:t>
      </w:r>
      <w:r>
        <w:t>实行特殊保护</w:t>
      </w:r>
      <w:r>
        <w:rPr>
          <w:rFonts w:hint="eastAsia"/>
        </w:rPr>
        <w:t>，</w:t>
      </w:r>
      <w:r>
        <w:t>遏制“非农化”、防止“非粮化”</w:t>
      </w:r>
      <w:r>
        <w:rPr>
          <w:rFonts w:hint="eastAsia"/>
        </w:rPr>
        <w:t>，</w:t>
      </w:r>
      <w:r>
        <w:t>为保障国家粮食安全和重要农产品有效供给提供坚实基础。</w:t>
      </w:r>
    </w:p>
    <w:p>
      <w:pPr>
        <w:pStyle w:val="2"/>
        <w:ind w:left="632" w:firstLine="632"/>
      </w:pPr>
    </w:p>
    <w:p>
      <w:pPr>
        <w:pStyle w:val="5"/>
        <w:spacing w:before="72" w:after="72"/>
        <w:rPr>
          <w:kern w:val="0"/>
        </w:rPr>
      </w:pPr>
      <w:bookmarkStart w:id="120" w:name="_Toc24761"/>
      <w:bookmarkStart w:id="121" w:name="_Toc29378"/>
      <w:bookmarkStart w:id="122" w:name="_Toc32540"/>
      <w:r>
        <w:rPr>
          <w:kern w:val="0"/>
        </w:rPr>
        <w:t>第二节</w:t>
      </w:r>
      <w:r>
        <w:rPr>
          <w:rFonts w:hint="eastAsia"/>
          <w:kern w:val="0"/>
          <w:lang w:eastAsia="zh-CN"/>
        </w:rPr>
        <w:t>编制</w:t>
      </w:r>
      <w:r>
        <w:rPr>
          <w:kern w:val="0"/>
        </w:rPr>
        <w:t>原则</w:t>
      </w:r>
      <w:bookmarkEnd w:id="120"/>
      <w:bookmarkEnd w:id="121"/>
      <w:bookmarkEnd w:id="122"/>
    </w:p>
    <w:p>
      <w:pPr>
        <w:numPr>
          <w:ilvl w:val="0"/>
          <w:numId w:val="4"/>
        </w:numPr>
        <w:ind w:firstLine="634"/>
        <w:rPr>
          <w:b/>
          <w:bCs/>
        </w:rPr>
      </w:pPr>
      <w:r>
        <w:rPr>
          <w:b/>
          <w:bCs/>
        </w:rPr>
        <w:t>夯实基础</w:t>
      </w:r>
      <w:r>
        <w:rPr>
          <w:rFonts w:hint="eastAsia"/>
          <w:b/>
          <w:bCs/>
        </w:rPr>
        <w:t>，</w:t>
      </w:r>
      <w:r>
        <w:rPr>
          <w:b/>
          <w:bCs/>
        </w:rPr>
        <w:t>确保产能</w:t>
      </w:r>
      <w:r>
        <w:rPr>
          <w:rFonts w:hint="eastAsia"/>
          <w:b/>
          <w:bCs/>
        </w:rPr>
        <w:t>。</w:t>
      </w:r>
    </w:p>
    <w:p>
      <w:pPr>
        <w:ind w:firstLine="632"/>
      </w:pPr>
      <w:r>
        <w:t>突出粮食产区和农产品优势区</w:t>
      </w:r>
      <w:r>
        <w:rPr>
          <w:rFonts w:hint="eastAsia"/>
        </w:rPr>
        <w:t>，</w:t>
      </w:r>
      <w:r>
        <w:t>着力完善农田基础设施</w:t>
      </w:r>
      <w:r>
        <w:rPr>
          <w:rFonts w:hint="eastAsia"/>
        </w:rPr>
        <w:t>，</w:t>
      </w:r>
      <w:r>
        <w:t>提升耕地质量</w:t>
      </w:r>
      <w:r>
        <w:rPr>
          <w:rFonts w:hint="eastAsia"/>
        </w:rPr>
        <w:t>，</w:t>
      </w:r>
      <w:r>
        <w:t>持续改善农业生产条件</w:t>
      </w:r>
      <w:r>
        <w:rPr>
          <w:rFonts w:hint="eastAsia"/>
        </w:rPr>
        <w:t>，</w:t>
      </w:r>
      <w:r>
        <w:t>稳步提高粮食生产能力</w:t>
      </w:r>
      <w:r>
        <w:rPr>
          <w:rFonts w:hint="eastAsia"/>
        </w:rPr>
        <w:t>，</w:t>
      </w:r>
      <w:r>
        <w:t>为确保谷物基本自给</w:t>
      </w:r>
      <w:r>
        <w:rPr>
          <w:rFonts w:hint="eastAsia"/>
        </w:rPr>
        <w:t>、</w:t>
      </w:r>
      <w:r>
        <w:t>口粮绝对安全打好基础。</w:t>
      </w:r>
    </w:p>
    <w:p>
      <w:pPr>
        <w:numPr>
          <w:ilvl w:val="0"/>
          <w:numId w:val="4"/>
        </w:numPr>
        <w:ind w:firstLine="634"/>
        <w:rPr>
          <w:b/>
          <w:bCs/>
        </w:rPr>
      </w:pPr>
      <w:r>
        <w:rPr>
          <w:b/>
          <w:bCs/>
        </w:rPr>
        <w:t>因地制宜</w:t>
      </w:r>
      <w:r>
        <w:rPr>
          <w:rFonts w:hint="eastAsia"/>
          <w:b/>
          <w:bCs/>
        </w:rPr>
        <w:t>，</w:t>
      </w:r>
      <w:r>
        <w:rPr>
          <w:b/>
          <w:bCs/>
        </w:rPr>
        <w:t>综合治理</w:t>
      </w:r>
      <w:r>
        <w:rPr>
          <w:rFonts w:hint="eastAsia"/>
          <w:b/>
          <w:bCs/>
        </w:rPr>
        <w:t>。</w:t>
      </w:r>
    </w:p>
    <w:p>
      <w:pPr>
        <w:ind w:firstLine="632"/>
      </w:pPr>
      <w:r>
        <w:t>严守耕地保护红线</w:t>
      </w:r>
      <w:r>
        <w:rPr>
          <w:rFonts w:hint="eastAsia"/>
        </w:rPr>
        <w:t>，</w:t>
      </w:r>
      <w:r>
        <w:t>依据耕地资源禀赋和国土空间</w:t>
      </w:r>
      <w:r>
        <w:rPr>
          <w:rFonts w:hint="eastAsia"/>
        </w:rPr>
        <w:t>、</w:t>
      </w:r>
      <w:r>
        <w:t>水资源利用</w:t>
      </w:r>
      <w:r>
        <w:rPr>
          <w:rFonts w:hint="eastAsia"/>
        </w:rPr>
        <w:t>、</w:t>
      </w:r>
      <w:r>
        <w:t>农村生活污水治理和畜禽养殖粪污资源化利用等规划</w:t>
      </w:r>
      <w:r>
        <w:rPr>
          <w:rFonts w:hint="eastAsia"/>
        </w:rPr>
        <w:t>，</w:t>
      </w:r>
      <w:r>
        <w:t>综合考虑农田基础条件</w:t>
      </w:r>
      <w:r>
        <w:rPr>
          <w:rFonts w:hint="eastAsia"/>
        </w:rPr>
        <w:t>、</w:t>
      </w:r>
      <w:r>
        <w:t>增产潜力</w:t>
      </w:r>
      <w:r>
        <w:rPr>
          <w:rFonts w:hint="eastAsia"/>
        </w:rPr>
        <w:t>、</w:t>
      </w:r>
      <w:r>
        <w:t>障碍因素</w:t>
      </w:r>
      <w:r>
        <w:rPr>
          <w:rFonts w:hint="eastAsia"/>
        </w:rPr>
        <w:t>、</w:t>
      </w:r>
      <w:r>
        <w:t>经济水平</w:t>
      </w:r>
      <w:r>
        <w:rPr>
          <w:rFonts w:hint="eastAsia"/>
        </w:rPr>
        <w:t>、</w:t>
      </w:r>
      <w:r>
        <w:t>资源化利用工作</w:t>
      </w:r>
      <w:r>
        <w:rPr>
          <w:rFonts w:hint="eastAsia"/>
        </w:rPr>
        <w:t>、</w:t>
      </w:r>
      <w:r>
        <w:t>烟稻轮作等情况</w:t>
      </w:r>
      <w:r>
        <w:rPr>
          <w:rFonts w:hint="eastAsia"/>
        </w:rPr>
        <w:t>，</w:t>
      </w:r>
      <w:r>
        <w:t>合理确定建设布局</w:t>
      </w:r>
      <w:r>
        <w:rPr>
          <w:rFonts w:hint="eastAsia"/>
        </w:rPr>
        <w:t>、</w:t>
      </w:r>
      <w:r>
        <w:t>建设内容</w:t>
      </w:r>
      <w:r>
        <w:rPr>
          <w:rFonts w:hint="eastAsia"/>
        </w:rPr>
        <w:t>，</w:t>
      </w:r>
      <w:r>
        <w:t>推进田水路电综合配套</w:t>
      </w:r>
      <w:r>
        <w:rPr>
          <w:rFonts w:hint="eastAsia"/>
        </w:rPr>
        <w:t>，</w:t>
      </w:r>
      <w:r>
        <w:t>做到量质并重</w:t>
      </w:r>
      <w:r>
        <w:rPr>
          <w:rFonts w:hint="eastAsia"/>
        </w:rPr>
        <w:t>。</w:t>
      </w:r>
    </w:p>
    <w:p>
      <w:pPr>
        <w:numPr>
          <w:ilvl w:val="0"/>
          <w:numId w:val="4"/>
        </w:numPr>
        <w:ind w:firstLine="634"/>
        <w:rPr>
          <w:b/>
          <w:bCs/>
        </w:rPr>
      </w:pPr>
      <w:r>
        <w:rPr>
          <w:b/>
          <w:bCs/>
        </w:rPr>
        <w:t>集中连片</w:t>
      </w:r>
      <w:r>
        <w:rPr>
          <w:rFonts w:hint="eastAsia"/>
          <w:b/>
          <w:bCs/>
        </w:rPr>
        <w:t>，</w:t>
      </w:r>
      <w:r>
        <w:rPr>
          <w:b/>
          <w:bCs/>
        </w:rPr>
        <w:t>整体推进</w:t>
      </w:r>
      <w:r>
        <w:rPr>
          <w:rFonts w:hint="eastAsia"/>
          <w:b/>
          <w:bCs/>
        </w:rPr>
        <w:t>。</w:t>
      </w:r>
    </w:p>
    <w:p>
      <w:pPr>
        <w:ind w:firstLine="632"/>
      </w:pPr>
      <w:r>
        <w:t>综合考虑农田特点</w:t>
      </w:r>
      <w:r>
        <w:rPr>
          <w:rFonts w:hint="eastAsia"/>
        </w:rPr>
        <w:t>、</w:t>
      </w:r>
      <w:r>
        <w:t>耕作要求和区划范围</w:t>
      </w:r>
      <w:r>
        <w:rPr>
          <w:rFonts w:hint="eastAsia"/>
        </w:rPr>
        <w:t>，</w:t>
      </w:r>
      <w:r>
        <w:t>合理确定规模</w:t>
      </w:r>
      <w:r>
        <w:rPr>
          <w:rFonts w:hint="eastAsia"/>
        </w:rPr>
        <w:t>，</w:t>
      </w:r>
      <w:r>
        <w:t>科学规划</w:t>
      </w:r>
      <w:r>
        <w:rPr>
          <w:rFonts w:hint="eastAsia"/>
        </w:rPr>
        <w:t>、</w:t>
      </w:r>
      <w:r>
        <w:t>建改并重</w:t>
      </w:r>
      <w:r>
        <w:rPr>
          <w:rFonts w:hint="eastAsia"/>
        </w:rPr>
        <w:t>、</w:t>
      </w:r>
      <w:r>
        <w:t>注重质量</w:t>
      </w:r>
      <w:r>
        <w:rPr>
          <w:rFonts w:hint="eastAsia"/>
        </w:rPr>
        <w:t>，</w:t>
      </w:r>
      <w:r>
        <w:t>推行整流域</w:t>
      </w:r>
      <w:r>
        <w:rPr>
          <w:rFonts w:hint="eastAsia"/>
        </w:rPr>
        <w:t>、</w:t>
      </w:r>
      <w:r>
        <w:t>整村</w:t>
      </w:r>
      <w:r>
        <w:rPr>
          <w:rFonts w:hint="eastAsia"/>
        </w:rPr>
        <w:t>、</w:t>
      </w:r>
      <w:r>
        <w:t>整乡</w:t>
      </w:r>
      <w:r>
        <w:rPr>
          <w:rFonts w:hint="eastAsia"/>
        </w:rPr>
        <w:t>（镇）、</w:t>
      </w:r>
      <w:r>
        <w:t>整县推进</w:t>
      </w:r>
      <w:r>
        <w:rPr>
          <w:rFonts w:hint="eastAsia"/>
        </w:rPr>
        <w:t>。</w:t>
      </w:r>
      <w:r>
        <w:t>鼓励支持各地采用统一设计</w:t>
      </w:r>
      <w:r>
        <w:rPr>
          <w:rFonts w:hint="eastAsia"/>
        </w:rPr>
        <w:t>、</w:t>
      </w:r>
      <w:r>
        <w:t>分期实施</w:t>
      </w:r>
      <w:r>
        <w:rPr>
          <w:rFonts w:hint="eastAsia"/>
        </w:rPr>
        <w:t>、</w:t>
      </w:r>
      <w:r>
        <w:t>集中连片</w:t>
      </w:r>
      <w:r>
        <w:rPr>
          <w:rFonts w:hint="eastAsia"/>
        </w:rPr>
        <w:t>、</w:t>
      </w:r>
      <w:r>
        <w:t>整体推进的方式</w:t>
      </w:r>
      <w:r>
        <w:rPr>
          <w:rFonts w:hint="eastAsia"/>
        </w:rPr>
        <w:t>，</w:t>
      </w:r>
      <w:r>
        <w:t>进行系统性</w:t>
      </w:r>
      <w:r>
        <w:rPr>
          <w:rFonts w:hint="eastAsia"/>
        </w:rPr>
        <w:t>、</w:t>
      </w:r>
      <w:r>
        <w:t>连续性</w:t>
      </w:r>
      <w:r>
        <w:rPr>
          <w:rFonts w:hint="eastAsia"/>
        </w:rPr>
        <w:t>、</w:t>
      </w:r>
      <w:r>
        <w:t>整体性治理开发。</w:t>
      </w:r>
    </w:p>
    <w:p>
      <w:pPr>
        <w:numPr>
          <w:ilvl w:val="0"/>
          <w:numId w:val="4"/>
        </w:numPr>
        <w:ind w:firstLine="634"/>
        <w:rPr>
          <w:b/>
          <w:bCs/>
        </w:rPr>
      </w:pPr>
      <w:r>
        <w:rPr>
          <w:b/>
          <w:bCs/>
        </w:rPr>
        <w:t>绿色发展</w:t>
      </w:r>
      <w:r>
        <w:rPr>
          <w:rFonts w:hint="eastAsia"/>
          <w:b/>
          <w:bCs/>
        </w:rPr>
        <w:t>，</w:t>
      </w:r>
      <w:r>
        <w:rPr>
          <w:b/>
          <w:bCs/>
        </w:rPr>
        <w:t>生态优先</w:t>
      </w:r>
      <w:r>
        <w:rPr>
          <w:rFonts w:hint="eastAsia"/>
          <w:b/>
          <w:bCs/>
        </w:rPr>
        <w:t>。</w:t>
      </w:r>
    </w:p>
    <w:p>
      <w:pPr>
        <w:ind w:firstLine="632"/>
      </w:pPr>
      <w:r>
        <w:t>以绿色发展引领高标准农田建设</w:t>
      </w:r>
      <w:r>
        <w:rPr>
          <w:rFonts w:hint="eastAsia"/>
        </w:rPr>
        <w:t>，</w:t>
      </w:r>
      <w:r>
        <w:t>加快构建布局合理</w:t>
      </w:r>
      <w:r>
        <w:rPr>
          <w:rFonts w:hint="eastAsia"/>
        </w:rPr>
        <w:t>、</w:t>
      </w:r>
      <w:r>
        <w:t>生态良好</w:t>
      </w:r>
      <w:r>
        <w:rPr>
          <w:rFonts w:hint="eastAsia"/>
        </w:rPr>
        <w:t>、</w:t>
      </w:r>
      <w:r>
        <w:t>灌排通畅</w:t>
      </w:r>
      <w:r>
        <w:rPr>
          <w:rFonts w:hint="eastAsia"/>
        </w:rPr>
        <w:t>、</w:t>
      </w:r>
      <w:r>
        <w:t>宜机作业的连片高标准农田</w:t>
      </w:r>
      <w:r>
        <w:rPr>
          <w:rFonts w:hint="eastAsia"/>
        </w:rPr>
        <w:t>。</w:t>
      </w:r>
      <w:r>
        <w:t>推进高效节水灌溉工程建设</w:t>
      </w:r>
      <w:r>
        <w:rPr>
          <w:rFonts w:hint="eastAsia"/>
        </w:rPr>
        <w:t>，</w:t>
      </w:r>
      <w:r>
        <w:t>推广水肥一体化技术</w:t>
      </w:r>
      <w:r>
        <w:rPr>
          <w:rFonts w:hint="eastAsia"/>
        </w:rPr>
        <w:t>。</w:t>
      </w:r>
      <w:r>
        <w:t>突出农田生态环境保护</w:t>
      </w:r>
      <w:r>
        <w:rPr>
          <w:rFonts w:hint="eastAsia"/>
        </w:rPr>
        <w:t>，</w:t>
      </w:r>
      <w:r>
        <w:t>少硬化</w:t>
      </w:r>
      <w:r>
        <w:rPr>
          <w:rFonts w:hint="eastAsia"/>
        </w:rPr>
        <w:t>、</w:t>
      </w:r>
      <w:r>
        <w:t>少砍树</w:t>
      </w:r>
      <w:r>
        <w:rPr>
          <w:rFonts w:hint="eastAsia"/>
        </w:rPr>
        <w:t>、</w:t>
      </w:r>
      <w:r>
        <w:t>慎填塘</w:t>
      </w:r>
      <w:r>
        <w:rPr>
          <w:rFonts w:hint="eastAsia"/>
        </w:rPr>
        <w:t>，</w:t>
      </w:r>
      <w:r>
        <w:t>建设生态环保型工程。</w:t>
      </w:r>
    </w:p>
    <w:p>
      <w:pPr>
        <w:pStyle w:val="2"/>
        <w:ind w:left="632" w:firstLine="632"/>
      </w:pPr>
    </w:p>
    <w:p>
      <w:pPr>
        <w:numPr>
          <w:ilvl w:val="0"/>
          <w:numId w:val="4"/>
        </w:numPr>
        <w:ind w:firstLine="634"/>
        <w:rPr>
          <w:b/>
          <w:bCs/>
        </w:rPr>
      </w:pPr>
      <w:r>
        <w:rPr>
          <w:b/>
          <w:bCs/>
        </w:rPr>
        <w:t>依法管理，良田粮用。</w:t>
      </w:r>
    </w:p>
    <w:p>
      <w:pPr>
        <w:ind w:firstLine="632"/>
      </w:pPr>
      <w:r>
        <w:t>实行最严格的耕地保护制度</w:t>
      </w:r>
      <w:r>
        <w:rPr>
          <w:rFonts w:hint="eastAsia"/>
        </w:rPr>
        <w:t>，</w:t>
      </w:r>
      <w:r>
        <w:t>重点在永久基本农田保护区和水稻生产功能区建设高标准农田</w:t>
      </w:r>
      <w:r>
        <w:rPr>
          <w:rFonts w:hint="eastAsia"/>
        </w:rPr>
        <w:t>，</w:t>
      </w:r>
      <w:r>
        <w:t>支持高标准农田主要用于粮食生产和重要农产品，筑牢农产品有效供给的底线。健全高标准农田建设</w:t>
      </w:r>
      <w:r>
        <w:rPr>
          <w:rFonts w:hint="eastAsia"/>
        </w:rPr>
        <w:t>、</w:t>
      </w:r>
      <w:r>
        <w:t>管护</w:t>
      </w:r>
      <w:r>
        <w:rPr>
          <w:rFonts w:hint="eastAsia"/>
        </w:rPr>
        <w:t>、</w:t>
      </w:r>
      <w:r>
        <w:t>使用的激励和约束机制</w:t>
      </w:r>
      <w:r>
        <w:rPr>
          <w:rFonts w:hint="eastAsia"/>
        </w:rPr>
        <w:t>、</w:t>
      </w:r>
      <w:r>
        <w:t>监管机制</w:t>
      </w:r>
      <w:r>
        <w:rPr>
          <w:rFonts w:hint="eastAsia"/>
        </w:rPr>
        <w:t>，</w:t>
      </w:r>
      <w:r>
        <w:t>建立健全工程长效管护机制</w:t>
      </w:r>
      <w:r>
        <w:rPr>
          <w:rFonts w:hint="eastAsia"/>
        </w:rPr>
        <w:t>，</w:t>
      </w:r>
      <w:r>
        <w:t>确保良性运行</w:t>
      </w:r>
      <w:r>
        <w:rPr>
          <w:rFonts w:hint="eastAsia"/>
        </w:rPr>
        <w:t>，</w:t>
      </w:r>
      <w:r>
        <w:t>长</w:t>
      </w:r>
      <w:bookmarkStart w:id="123" w:name="_bookmark4"/>
      <w:bookmarkEnd w:id="123"/>
      <w:r>
        <w:t>期发挥效益。</w:t>
      </w:r>
    </w:p>
    <w:p>
      <w:pPr>
        <w:numPr>
          <w:ilvl w:val="0"/>
          <w:numId w:val="4"/>
        </w:numPr>
        <w:ind w:firstLine="634"/>
        <w:rPr>
          <w:b/>
          <w:bCs/>
        </w:rPr>
      </w:pPr>
      <w:r>
        <w:rPr>
          <w:b/>
          <w:bCs/>
        </w:rPr>
        <w:t>政府主导</w:t>
      </w:r>
      <w:r>
        <w:rPr>
          <w:rFonts w:hint="eastAsia"/>
          <w:b/>
          <w:bCs/>
        </w:rPr>
        <w:t>，</w:t>
      </w:r>
      <w:r>
        <w:rPr>
          <w:b/>
          <w:bCs/>
        </w:rPr>
        <w:t>多元参与</w:t>
      </w:r>
      <w:r>
        <w:rPr>
          <w:rFonts w:hint="eastAsia"/>
          <w:b/>
          <w:bCs/>
        </w:rPr>
        <w:t>。</w:t>
      </w:r>
    </w:p>
    <w:p>
      <w:pPr>
        <w:ind w:firstLine="632"/>
      </w:pPr>
      <w:r>
        <w:t>持续健全投入逐步增长机制</w:t>
      </w:r>
      <w:r>
        <w:rPr>
          <w:rFonts w:hint="eastAsia"/>
        </w:rPr>
        <w:t>，</w:t>
      </w:r>
      <w:r>
        <w:t>积极争取国家政策资金支持，省级财政承担地方财政投入的主要支出责任</w:t>
      </w:r>
      <w:r>
        <w:rPr>
          <w:rFonts w:hint="eastAsia"/>
        </w:rPr>
        <w:t>，区</w:t>
      </w:r>
      <w:r>
        <w:t>县财政强化配套支出</w:t>
      </w:r>
      <w:r>
        <w:rPr>
          <w:rFonts w:hint="eastAsia"/>
        </w:rPr>
        <w:t>，</w:t>
      </w:r>
      <w:r>
        <w:t>积极拓展资金投入渠道</w:t>
      </w:r>
      <w:r>
        <w:rPr>
          <w:rFonts w:hint="eastAsia"/>
        </w:rPr>
        <w:t>，</w:t>
      </w:r>
      <w:r>
        <w:t>抢抓政策窗口期</w:t>
      </w:r>
      <w:r>
        <w:rPr>
          <w:rFonts w:hint="eastAsia"/>
        </w:rPr>
        <w:t>，</w:t>
      </w:r>
      <w:r>
        <w:t>充分调动社会各方积极性</w:t>
      </w:r>
      <w:r>
        <w:rPr>
          <w:rFonts w:hint="eastAsia"/>
        </w:rPr>
        <w:t>，</w:t>
      </w:r>
      <w:r>
        <w:t>优化新型农业经营主体投入机制</w:t>
      </w:r>
      <w:r>
        <w:rPr>
          <w:rFonts w:hint="eastAsia"/>
        </w:rPr>
        <w:t>，</w:t>
      </w:r>
      <w:r>
        <w:t>积极引导社会资本和金融资金投入</w:t>
      </w:r>
      <w:r>
        <w:rPr>
          <w:rFonts w:hint="eastAsia"/>
        </w:rPr>
        <w:t>，</w:t>
      </w:r>
      <w:r>
        <w:t>推动多元筹资</w:t>
      </w:r>
      <w:r>
        <w:rPr>
          <w:rFonts w:hint="eastAsia"/>
        </w:rPr>
        <w:t>，</w:t>
      </w:r>
      <w:r>
        <w:t>逐步提高投资标准。</w:t>
      </w:r>
    </w:p>
    <w:p>
      <w:pPr>
        <w:pStyle w:val="5"/>
        <w:spacing w:before="72" w:after="72"/>
        <w:rPr>
          <w:kern w:val="0"/>
          <w:lang w:eastAsia="zh-CN"/>
        </w:rPr>
      </w:pPr>
      <w:bookmarkStart w:id="124" w:name="_Toc25769"/>
      <w:bookmarkStart w:id="125" w:name="_Toc5828"/>
      <w:bookmarkStart w:id="126" w:name="_Toc17747"/>
      <w:r>
        <w:rPr>
          <w:kern w:val="0"/>
          <w:lang w:eastAsia="zh-CN"/>
        </w:rPr>
        <w:t>第三节</w:t>
      </w:r>
      <w:bookmarkEnd w:id="124"/>
      <w:bookmarkEnd w:id="125"/>
      <w:r>
        <w:rPr>
          <w:rFonts w:hint="eastAsia"/>
          <w:kern w:val="0"/>
          <w:lang w:eastAsia="zh-CN"/>
        </w:rPr>
        <w:t>建设目标</w:t>
      </w:r>
      <w:bookmarkEnd w:id="126"/>
    </w:p>
    <w:p>
      <w:pPr>
        <w:ind w:firstLine="632"/>
      </w:pPr>
      <w:r>
        <w:t>规划期内，集中力量建设集中连片、旱涝保收、节水高效、稳产高产、生态友好的高标准农田，形成一批“一季千斤、两季吨粮”的口粮田，满足人们粮食和食品消费升级需求，进一步筑牢保障国家粮食安全基础，把饭碗牢牢端在自己手上。通过新增建设和改造提升，力争将大中型灌区有效灌溉面积优先打造成高标准农田，确保到2025年</w:t>
      </w:r>
      <w:r>
        <w:rPr>
          <w:rFonts w:hint="eastAsia"/>
        </w:rPr>
        <w:t>累计</w:t>
      </w:r>
      <w:r>
        <w:t>建成</w:t>
      </w:r>
      <w:r>
        <w:rPr>
          <w:rFonts w:hint="eastAsia"/>
        </w:rPr>
        <w:t>0.65万</w:t>
      </w:r>
      <w:r>
        <w:t>亩高标准农田，</w:t>
      </w:r>
      <w:r>
        <w:rPr>
          <w:rFonts w:hint="eastAsia"/>
        </w:rPr>
        <w:t>累计</w:t>
      </w:r>
      <w:r>
        <w:t>改造提升</w:t>
      </w:r>
      <w:r>
        <w:rPr>
          <w:rFonts w:hint="eastAsia"/>
        </w:rPr>
        <w:t>1万</w:t>
      </w:r>
      <w:r>
        <w:t>亩高标准农田</w:t>
      </w:r>
      <w:r>
        <w:rPr>
          <w:rFonts w:hint="eastAsia"/>
        </w:rPr>
        <w:t>，</w:t>
      </w:r>
      <w:r>
        <w:t>到2030年</w:t>
      </w:r>
      <w:r>
        <w:rPr>
          <w:rFonts w:hint="eastAsia"/>
        </w:rPr>
        <w:t>累计</w:t>
      </w:r>
      <w:r>
        <w:t>建成</w:t>
      </w:r>
      <w:r>
        <w:rPr>
          <w:rFonts w:hint="eastAsia"/>
        </w:rPr>
        <w:t>1.95万</w:t>
      </w:r>
      <w:r>
        <w:t>亩高标准农田，</w:t>
      </w:r>
      <w:r>
        <w:rPr>
          <w:rFonts w:hint="eastAsia"/>
        </w:rPr>
        <w:t>累计</w:t>
      </w:r>
      <w:r>
        <w:t>改造提升</w:t>
      </w:r>
      <w:r>
        <w:rPr>
          <w:rFonts w:hint="eastAsia"/>
        </w:rPr>
        <w:t>1.5万</w:t>
      </w:r>
      <w:r>
        <w:t>亩高标准农田</w:t>
      </w:r>
      <w:r>
        <w:rPr>
          <w:rFonts w:hint="eastAsia"/>
        </w:rPr>
        <w:t>（均以市级下达我区任务为准)</w:t>
      </w:r>
      <w:r>
        <w:t>。把高效节水灌溉与高标准农田建设统筹规划、同步实施，规划期内完成</w:t>
      </w:r>
      <w:r>
        <w:rPr>
          <w:rFonts w:hint="eastAsia"/>
        </w:rPr>
        <w:t>1.05万</w:t>
      </w:r>
      <w:r>
        <w:t>亩新增高效节水灌溉建设任务。到203</w:t>
      </w:r>
      <w:r>
        <w:rPr>
          <w:rFonts w:hint="eastAsia"/>
        </w:rPr>
        <w:t>0</w:t>
      </w:r>
      <w:r>
        <w:t>年，通过持续改造提升，</w:t>
      </w:r>
      <w:r>
        <w:rPr>
          <w:rFonts w:hint="eastAsia"/>
        </w:rPr>
        <w:t>我区</w:t>
      </w:r>
      <w:r>
        <w:t>高标准农田保有量和质量进一步提高，绿色农田、数字农田建设模式进步普及，支撑粮食生产和重要农产品供给能力进一步提升，形成更高层次、更有效率、更可持续的国家粮食安全保障基础。</w:t>
      </w:r>
    </w:p>
    <w:p>
      <w:pPr>
        <w:ind w:firstLine="0" w:firstLineChars="0"/>
        <w:jc w:val="center"/>
        <w:rPr>
          <w:b/>
          <w:bCs/>
        </w:rPr>
      </w:pPr>
      <w:bookmarkStart w:id="127" w:name="_Toc3965"/>
      <w:r>
        <w:rPr>
          <w:rFonts w:hint="eastAsia"/>
          <w:b/>
          <w:bCs/>
        </w:rPr>
        <w:t>表2-1 三元区高标准农田建设主要指标</w:t>
      </w:r>
      <w:bookmarkEnd w:id="127"/>
    </w:p>
    <w:tbl>
      <w:tblPr>
        <w:tblStyle w:val="12"/>
        <w:tblW w:w="485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7"/>
        <w:gridCol w:w="1464"/>
        <w:gridCol w:w="2949"/>
        <w:gridCol w:w="2933"/>
        <w:gridCol w:w="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353" w:type="pct"/>
            <w:noWrap/>
            <w:tcMar>
              <w:top w:w="15" w:type="dxa"/>
              <w:left w:w="15" w:type="dxa"/>
              <w:right w:w="15" w:type="dxa"/>
            </w:tcMar>
            <w:vAlign w:val="center"/>
          </w:tcPr>
          <w:p>
            <w:pPr>
              <w:pStyle w:val="6"/>
              <w:spacing w:before="120"/>
              <w:jc w:val="center"/>
              <w:rPr>
                <w:b/>
                <w:bCs/>
                <w:kern w:val="0"/>
              </w:rPr>
            </w:pPr>
            <w:r>
              <w:rPr>
                <w:b/>
                <w:bCs/>
                <w:kern w:val="0"/>
              </w:rPr>
              <w:t>序号</w:t>
            </w:r>
          </w:p>
        </w:tc>
        <w:tc>
          <w:tcPr>
            <w:tcW w:w="824" w:type="pct"/>
            <w:noWrap/>
            <w:tcMar>
              <w:top w:w="15" w:type="dxa"/>
              <w:left w:w="15" w:type="dxa"/>
              <w:right w:w="15" w:type="dxa"/>
            </w:tcMar>
            <w:vAlign w:val="center"/>
          </w:tcPr>
          <w:p>
            <w:pPr>
              <w:pStyle w:val="6"/>
              <w:spacing w:before="120"/>
              <w:jc w:val="center"/>
              <w:rPr>
                <w:b/>
                <w:bCs/>
                <w:kern w:val="0"/>
              </w:rPr>
            </w:pPr>
            <w:r>
              <w:rPr>
                <w:b/>
                <w:bCs/>
                <w:kern w:val="0"/>
              </w:rPr>
              <w:t>指标</w:t>
            </w:r>
          </w:p>
        </w:tc>
        <w:tc>
          <w:tcPr>
            <w:tcW w:w="1659" w:type="pct"/>
            <w:noWrap/>
            <w:tcMar>
              <w:top w:w="15" w:type="dxa"/>
              <w:left w:w="15" w:type="dxa"/>
              <w:right w:w="15" w:type="dxa"/>
            </w:tcMar>
            <w:vAlign w:val="center"/>
          </w:tcPr>
          <w:p>
            <w:pPr>
              <w:pStyle w:val="6"/>
              <w:spacing w:before="120"/>
              <w:jc w:val="center"/>
              <w:rPr>
                <w:b/>
                <w:bCs/>
                <w:kern w:val="0"/>
              </w:rPr>
            </w:pPr>
            <w:r>
              <w:rPr>
                <w:rFonts w:hint="eastAsia"/>
                <w:b/>
                <w:bCs/>
                <w:kern w:val="0"/>
              </w:rPr>
              <w:t>上级任务值</w:t>
            </w:r>
          </w:p>
        </w:tc>
        <w:tc>
          <w:tcPr>
            <w:tcW w:w="1650" w:type="pct"/>
            <w:noWrap/>
            <w:tcMar>
              <w:top w:w="15" w:type="dxa"/>
              <w:left w:w="15" w:type="dxa"/>
              <w:right w:w="15" w:type="dxa"/>
            </w:tcMar>
            <w:vAlign w:val="center"/>
          </w:tcPr>
          <w:p>
            <w:pPr>
              <w:pStyle w:val="6"/>
              <w:spacing w:before="120"/>
              <w:jc w:val="center"/>
              <w:rPr>
                <w:b/>
                <w:bCs/>
                <w:kern w:val="0"/>
              </w:rPr>
            </w:pPr>
            <w:r>
              <w:rPr>
                <w:rFonts w:hint="eastAsia"/>
                <w:b/>
                <w:bCs/>
                <w:kern w:val="0"/>
              </w:rPr>
              <w:t>规划目标值</w:t>
            </w:r>
          </w:p>
        </w:tc>
        <w:tc>
          <w:tcPr>
            <w:tcW w:w="512" w:type="pct"/>
            <w:noWrap/>
            <w:tcMar>
              <w:top w:w="15" w:type="dxa"/>
              <w:left w:w="15" w:type="dxa"/>
              <w:right w:w="15" w:type="dxa"/>
            </w:tcMar>
            <w:vAlign w:val="center"/>
          </w:tcPr>
          <w:p>
            <w:pPr>
              <w:pStyle w:val="6"/>
              <w:spacing w:before="120"/>
              <w:jc w:val="center"/>
              <w:rPr>
                <w:b/>
                <w:bCs/>
                <w:kern w:val="0"/>
              </w:rPr>
            </w:pPr>
            <w:r>
              <w:rPr>
                <w:b/>
                <w:bCs/>
                <w:kern w:val="0"/>
              </w:rPr>
              <w:t>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9" w:hRule="atLeast"/>
          <w:jc w:val="center"/>
        </w:trPr>
        <w:tc>
          <w:tcPr>
            <w:tcW w:w="353" w:type="pct"/>
            <w:vMerge w:val="restart"/>
            <w:noWrap/>
            <w:tcMar>
              <w:top w:w="15" w:type="dxa"/>
              <w:left w:w="15" w:type="dxa"/>
              <w:right w:w="15" w:type="dxa"/>
            </w:tcMar>
            <w:vAlign w:val="center"/>
          </w:tcPr>
          <w:p>
            <w:pPr>
              <w:pStyle w:val="6"/>
              <w:spacing w:before="120"/>
              <w:jc w:val="center"/>
              <w:rPr>
                <w:kern w:val="0"/>
              </w:rPr>
            </w:pPr>
            <w:r>
              <w:rPr>
                <w:kern w:val="0"/>
              </w:rPr>
              <w:t>1</w:t>
            </w:r>
          </w:p>
        </w:tc>
        <w:tc>
          <w:tcPr>
            <w:tcW w:w="824" w:type="pct"/>
            <w:vMerge w:val="restart"/>
            <w:noWrap/>
            <w:tcMar>
              <w:top w:w="15" w:type="dxa"/>
              <w:left w:w="15" w:type="dxa"/>
              <w:right w:w="15" w:type="dxa"/>
            </w:tcMar>
            <w:vAlign w:val="center"/>
          </w:tcPr>
          <w:p>
            <w:pPr>
              <w:pStyle w:val="6"/>
              <w:spacing w:before="120"/>
              <w:jc w:val="center"/>
              <w:rPr>
                <w:kern w:val="0"/>
              </w:rPr>
            </w:pPr>
            <w:r>
              <w:rPr>
                <w:kern w:val="0"/>
              </w:rPr>
              <w:t>高标准农田建设</w:t>
            </w: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到2025年累计建成高标准农田</w:t>
            </w:r>
            <w:r>
              <w:rPr>
                <w:rFonts w:hint="eastAsia"/>
                <w:kern w:val="0"/>
                <w:lang w:eastAsia="zh-CN"/>
              </w:rPr>
              <w:t>0.9万</w:t>
            </w:r>
            <w:r>
              <w:rPr>
                <w:kern w:val="0"/>
                <w:lang w:eastAsia="zh-CN"/>
              </w:rPr>
              <w:t>亩</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到2025年累计建成高标准农田</w:t>
            </w:r>
            <w:r>
              <w:rPr>
                <w:rFonts w:hint="eastAsia"/>
                <w:kern w:val="0"/>
                <w:lang w:eastAsia="zh-CN"/>
              </w:rPr>
              <w:t>0.927万</w:t>
            </w:r>
            <w:r>
              <w:rPr>
                <w:kern w:val="0"/>
                <w:lang w:eastAsia="zh-CN"/>
              </w:rPr>
              <w:t>亩</w:t>
            </w:r>
          </w:p>
        </w:tc>
        <w:tc>
          <w:tcPr>
            <w:tcW w:w="512" w:type="pct"/>
            <w:vMerge w:val="restart"/>
            <w:noWrap/>
            <w:tcMar>
              <w:top w:w="15" w:type="dxa"/>
              <w:left w:w="15" w:type="dxa"/>
              <w:right w:w="15" w:type="dxa"/>
            </w:tcMar>
            <w:vAlign w:val="center"/>
          </w:tcPr>
          <w:p>
            <w:pPr>
              <w:pStyle w:val="6"/>
              <w:spacing w:before="120"/>
              <w:jc w:val="center"/>
              <w:rPr>
                <w:kern w:val="0"/>
              </w:rPr>
            </w:pPr>
            <w:r>
              <w:rPr>
                <w:rFonts w:hint="eastAsia"/>
                <w:kern w:val="0"/>
              </w:rPr>
              <w:t>预期</w:t>
            </w:r>
            <w:r>
              <w:rPr>
                <w:kern w:val="0"/>
              </w:rPr>
              <w:t>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353" w:type="pct"/>
            <w:vMerge w:val="continue"/>
            <w:noWrap/>
            <w:tcMar>
              <w:top w:w="15" w:type="dxa"/>
              <w:left w:w="15" w:type="dxa"/>
              <w:right w:w="15" w:type="dxa"/>
            </w:tcMar>
            <w:vAlign w:val="center"/>
          </w:tcPr>
          <w:p>
            <w:pPr>
              <w:pStyle w:val="6"/>
              <w:spacing w:before="120"/>
              <w:jc w:val="center"/>
              <w:rPr>
                <w:kern w:val="0"/>
              </w:rPr>
            </w:pPr>
          </w:p>
        </w:tc>
        <w:tc>
          <w:tcPr>
            <w:tcW w:w="824" w:type="pct"/>
            <w:vMerge w:val="continue"/>
            <w:noWrap/>
            <w:tcMar>
              <w:top w:w="15" w:type="dxa"/>
              <w:left w:w="15" w:type="dxa"/>
              <w:right w:w="15" w:type="dxa"/>
            </w:tcMar>
            <w:vAlign w:val="center"/>
          </w:tcPr>
          <w:p>
            <w:pPr>
              <w:pStyle w:val="6"/>
              <w:spacing w:before="120"/>
              <w:jc w:val="center"/>
              <w:rPr>
                <w:kern w:val="0"/>
              </w:rPr>
            </w:pP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到2025年累计改造提升高标准农田</w:t>
            </w:r>
            <w:r>
              <w:rPr>
                <w:rFonts w:hint="eastAsia"/>
                <w:kern w:val="0"/>
                <w:lang w:eastAsia="zh-CN"/>
              </w:rPr>
              <w:t>1</w:t>
            </w:r>
            <w:r>
              <w:rPr>
                <w:kern w:val="0"/>
                <w:lang w:eastAsia="zh-CN"/>
              </w:rPr>
              <w:t>万亩</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到2025年累计改造提升高标准农田</w:t>
            </w:r>
            <w:r>
              <w:rPr>
                <w:rFonts w:hint="eastAsia"/>
                <w:kern w:val="0"/>
                <w:lang w:eastAsia="zh-CN"/>
              </w:rPr>
              <w:t>1.07</w:t>
            </w:r>
            <w:r>
              <w:rPr>
                <w:kern w:val="0"/>
                <w:lang w:eastAsia="zh-CN"/>
              </w:rPr>
              <w:t>万亩</w:t>
            </w:r>
          </w:p>
        </w:tc>
        <w:tc>
          <w:tcPr>
            <w:tcW w:w="512" w:type="pct"/>
            <w:vMerge w:val="continue"/>
            <w:noWrap/>
            <w:tcMar>
              <w:top w:w="15" w:type="dxa"/>
              <w:left w:w="15" w:type="dxa"/>
              <w:right w:w="15" w:type="dxa"/>
            </w:tcMar>
            <w:vAlign w:val="center"/>
          </w:tcPr>
          <w:p>
            <w:pPr>
              <w:pStyle w:val="6"/>
              <w:spacing w:before="120"/>
              <w:jc w:val="center"/>
              <w:rPr>
                <w:kern w:val="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353" w:type="pct"/>
            <w:vMerge w:val="continue"/>
            <w:noWrap/>
            <w:tcMar>
              <w:top w:w="15" w:type="dxa"/>
              <w:left w:w="15" w:type="dxa"/>
              <w:right w:w="15" w:type="dxa"/>
            </w:tcMar>
            <w:vAlign w:val="center"/>
          </w:tcPr>
          <w:p>
            <w:pPr>
              <w:pStyle w:val="6"/>
              <w:spacing w:before="120"/>
              <w:jc w:val="center"/>
              <w:rPr>
                <w:kern w:val="0"/>
                <w:lang w:eastAsia="zh-CN"/>
              </w:rPr>
            </w:pPr>
          </w:p>
        </w:tc>
        <w:tc>
          <w:tcPr>
            <w:tcW w:w="824" w:type="pct"/>
            <w:vMerge w:val="continue"/>
            <w:noWrap/>
            <w:tcMar>
              <w:top w:w="15" w:type="dxa"/>
              <w:left w:w="15" w:type="dxa"/>
              <w:right w:w="15" w:type="dxa"/>
            </w:tcMar>
            <w:vAlign w:val="center"/>
          </w:tcPr>
          <w:p>
            <w:pPr>
              <w:pStyle w:val="6"/>
              <w:spacing w:before="120"/>
              <w:jc w:val="center"/>
              <w:rPr>
                <w:kern w:val="0"/>
                <w:lang w:eastAsia="zh-CN"/>
              </w:rPr>
            </w:pP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到2030年累计建成高标准农田</w:t>
            </w:r>
            <w:r>
              <w:rPr>
                <w:rFonts w:hint="eastAsia"/>
                <w:kern w:val="0"/>
                <w:lang w:eastAsia="zh-CN"/>
              </w:rPr>
              <w:t>1.95</w:t>
            </w:r>
            <w:r>
              <w:rPr>
                <w:kern w:val="0"/>
                <w:lang w:eastAsia="zh-CN"/>
              </w:rPr>
              <w:t>万亩</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到2030年累计建成高标准农田</w:t>
            </w:r>
            <w:r>
              <w:rPr>
                <w:rFonts w:hint="eastAsia"/>
                <w:kern w:val="0"/>
                <w:lang w:eastAsia="zh-CN"/>
              </w:rPr>
              <w:t>2.261</w:t>
            </w:r>
            <w:r>
              <w:rPr>
                <w:kern w:val="0"/>
                <w:lang w:eastAsia="zh-CN"/>
              </w:rPr>
              <w:t>万亩</w:t>
            </w:r>
          </w:p>
        </w:tc>
        <w:tc>
          <w:tcPr>
            <w:tcW w:w="512" w:type="pct"/>
            <w:vMerge w:val="continue"/>
            <w:noWrap/>
            <w:tcMar>
              <w:top w:w="15" w:type="dxa"/>
              <w:left w:w="15" w:type="dxa"/>
              <w:right w:w="15" w:type="dxa"/>
            </w:tcMar>
            <w:vAlign w:val="center"/>
          </w:tcPr>
          <w:p>
            <w:pPr>
              <w:pStyle w:val="6"/>
              <w:spacing w:before="120"/>
              <w:jc w:val="center"/>
              <w:rPr>
                <w:kern w:val="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3" w:type="pct"/>
            <w:vMerge w:val="continue"/>
            <w:noWrap/>
            <w:tcMar>
              <w:top w:w="15" w:type="dxa"/>
              <w:left w:w="15" w:type="dxa"/>
              <w:right w:w="15" w:type="dxa"/>
            </w:tcMar>
            <w:vAlign w:val="center"/>
          </w:tcPr>
          <w:p>
            <w:pPr>
              <w:pStyle w:val="6"/>
              <w:spacing w:before="120"/>
              <w:jc w:val="center"/>
              <w:rPr>
                <w:kern w:val="0"/>
                <w:lang w:eastAsia="zh-CN"/>
              </w:rPr>
            </w:pPr>
          </w:p>
        </w:tc>
        <w:tc>
          <w:tcPr>
            <w:tcW w:w="824" w:type="pct"/>
            <w:vMerge w:val="continue"/>
            <w:noWrap/>
            <w:tcMar>
              <w:top w:w="15" w:type="dxa"/>
              <w:left w:w="15" w:type="dxa"/>
              <w:right w:w="15" w:type="dxa"/>
            </w:tcMar>
            <w:vAlign w:val="center"/>
          </w:tcPr>
          <w:p>
            <w:pPr>
              <w:pStyle w:val="6"/>
              <w:spacing w:before="120"/>
              <w:jc w:val="center"/>
              <w:rPr>
                <w:kern w:val="0"/>
                <w:lang w:eastAsia="zh-CN"/>
              </w:rPr>
            </w:pP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到2030年累计改造提升高标准农田</w:t>
            </w:r>
            <w:r>
              <w:rPr>
                <w:rFonts w:hint="eastAsia"/>
                <w:kern w:val="0"/>
                <w:lang w:eastAsia="zh-CN"/>
              </w:rPr>
              <w:t>1.5</w:t>
            </w:r>
            <w:r>
              <w:rPr>
                <w:kern w:val="0"/>
                <w:lang w:eastAsia="zh-CN"/>
              </w:rPr>
              <w:t>万亩</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到2030年累计改造提升高标准农田</w:t>
            </w:r>
            <w:r>
              <w:rPr>
                <w:rFonts w:hint="eastAsia"/>
                <w:kern w:val="0"/>
                <w:lang w:eastAsia="zh-CN"/>
              </w:rPr>
              <w:t>1.669</w:t>
            </w:r>
            <w:r>
              <w:rPr>
                <w:kern w:val="0"/>
                <w:lang w:eastAsia="zh-CN"/>
              </w:rPr>
              <w:t>万亩</w:t>
            </w:r>
          </w:p>
        </w:tc>
        <w:tc>
          <w:tcPr>
            <w:tcW w:w="512" w:type="pct"/>
            <w:vMerge w:val="continue"/>
            <w:noWrap/>
            <w:tcMar>
              <w:top w:w="15" w:type="dxa"/>
              <w:left w:w="15" w:type="dxa"/>
              <w:right w:w="15" w:type="dxa"/>
            </w:tcMar>
            <w:vAlign w:val="center"/>
          </w:tcPr>
          <w:p>
            <w:pPr>
              <w:pStyle w:val="6"/>
              <w:spacing w:before="120"/>
              <w:jc w:val="center"/>
              <w:rPr>
                <w:kern w:val="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353" w:type="pct"/>
            <w:noWrap/>
            <w:tcMar>
              <w:top w:w="15" w:type="dxa"/>
              <w:left w:w="15" w:type="dxa"/>
              <w:right w:w="15" w:type="dxa"/>
            </w:tcMar>
            <w:vAlign w:val="center"/>
          </w:tcPr>
          <w:p>
            <w:pPr>
              <w:pStyle w:val="6"/>
              <w:spacing w:before="120"/>
              <w:jc w:val="center"/>
              <w:rPr>
                <w:kern w:val="0"/>
              </w:rPr>
            </w:pPr>
            <w:r>
              <w:rPr>
                <w:kern w:val="0"/>
              </w:rPr>
              <w:t>2</w:t>
            </w:r>
          </w:p>
        </w:tc>
        <w:tc>
          <w:tcPr>
            <w:tcW w:w="824" w:type="pct"/>
            <w:noWrap/>
            <w:tcMar>
              <w:top w:w="15" w:type="dxa"/>
              <w:left w:w="15" w:type="dxa"/>
              <w:right w:w="15" w:type="dxa"/>
            </w:tcMar>
            <w:vAlign w:val="center"/>
          </w:tcPr>
          <w:p>
            <w:pPr>
              <w:pStyle w:val="6"/>
              <w:spacing w:before="120"/>
              <w:jc w:val="center"/>
              <w:rPr>
                <w:kern w:val="0"/>
              </w:rPr>
            </w:pPr>
            <w:r>
              <w:rPr>
                <w:kern w:val="0"/>
              </w:rPr>
              <w:t>高效节水灌溉建设</w:t>
            </w: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2021-2030年新增高效节水灌溉面积</w:t>
            </w:r>
            <w:r>
              <w:rPr>
                <w:rFonts w:hint="eastAsia"/>
                <w:kern w:val="0"/>
                <w:lang w:eastAsia="zh-CN"/>
              </w:rPr>
              <w:t>1.05万</w:t>
            </w:r>
            <w:r>
              <w:rPr>
                <w:kern w:val="0"/>
                <w:lang w:eastAsia="zh-CN"/>
              </w:rPr>
              <w:t>亩</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2021-2030年新增高效节水灌溉面积</w:t>
            </w:r>
            <w:r>
              <w:rPr>
                <w:rFonts w:hint="eastAsia"/>
                <w:kern w:val="0"/>
                <w:lang w:eastAsia="zh-CN"/>
              </w:rPr>
              <w:t>2.261万</w:t>
            </w:r>
            <w:r>
              <w:rPr>
                <w:kern w:val="0"/>
                <w:lang w:eastAsia="zh-CN"/>
              </w:rPr>
              <w:t>亩</w:t>
            </w:r>
          </w:p>
        </w:tc>
        <w:tc>
          <w:tcPr>
            <w:tcW w:w="512" w:type="pct"/>
            <w:noWrap/>
            <w:tcMar>
              <w:top w:w="15" w:type="dxa"/>
              <w:left w:w="15" w:type="dxa"/>
              <w:right w:w="15" w:type="dxa"/>
            </w:tcMar>
            <w:vAlign w:val="center"/>
          </w:tcPr>
          <w:p>
            <w:pPr>
              <w:pStyle w:val="6"/>
              <w:spacing w:before="120"/>
              <w:jc w:val="center"/>
              <w:rPr>
                <w:kern w:val="0"/>
              </w:rPr>
            </w:pPr>
            <w:r>
              <w:rPr>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3" w:type="pct"/>
            <w:vMerge w:val="restart"/>
            <w:noWrap/>
            <w:tcMar>
              <w:top w:w="15" w:type="dxa"/>
              <w:left w:w="15" w:type="dxa"/>
              <w:right w:w="15" w:type="dxa"/>
            </w:tcMar>
            <w:vAlign w:val="center"/>
          </w:tcPr>
          <w:p>
            <w:pPr>
              <w:pStyle w:val="6"/>
              <w:spacing w:before="120"/>
              <w:jc w:val="center"/>
              <w:rPr>
                <w:kern w:val="0"/>
              </w:rPr>
            </w:pPr>
            <w:r>
              <w:rPr>
                <w:kern w:val="0"/>
              </w:rPr>
              <w:t>3</w:t>
            </w:r>
          </w:p>
        </w:tc>
        <w:tc>
          <w:tcPr>
            <w:tcW w:w="824" w:type="pct"/>
            <w:vMerge w:val="restart"/>
            <w:noWrap/>
            <w:tcMar>
              <w:top w:w="15" w:type="dxa"/>
              <w:left w:w="15" w:type="dxa"/>
              <w:right w:w="15" w:type="dxa"/>
            </w:tcMar>
            <w:vAlign w:val="center"/>
          </w:tcPr>
          <w:p>
            <w:pPr>
              <w:pStyle w:val="6"/>
              <w:spacing w:before="120"/>
              <w:jc w:val="center"/>
              <w:rPr>
                <w:kern w:val="0"/>
                <w:lang w:eastAsia="zh-CN"/>
              </w:rPr>
            </w:pPr>
            <w:r>
              <w:rPr>
                <w:kern w:val="0"/>
                <w:lang w:eastAsia="zh-CN"/>
              </w:rPr>
              <w:t>新增粮食综合生产能力</w:t>
            </w: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新增高标准农田亩均产能提高100公斤左右</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新增高标准农田亩均产能提高100公斤左右</w:t>
            </w:r>
          </w:p>
        </w:tc>
        <w:tc>
          <w:tcPr>
            <w:tcW w:w="512" w:type="pct"/>
            <w:vMerge w:val="restart"/>
            <w:noWrap/>
            <w:tcMar>
              <w:top w:w="15" w:type="dxa"/>
              <w:left w:w="15" w:type="dxa"/>
              <w:right w:w="15" w:type="dxa"/>
            </w:tcMar>
            <w:vAlign w:val="center"/>
          </w:tcPr>
          <w:p>
            <w:pPr>
              <w:pStyle w:val="6"/>
              <w:spacing w:before="120"/>
              <w:jc w:val="center"/>
              <w:rPr>
                <w:kern w:val="0"/>
              </w:rPr>
            </w:pPr>
            <w:r>
              <w:rPr>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353" w:type="pct"/>
            <w:vMerge w:val="continue"/>
            <w:noWrap/>
            <w:tcMar>
              <w:top w:w="15" w:type="dxa"/>
              <w:left w:w="15" w:type="dxa"/>
              <w:right w:w="15" w:type="dxa"/>
            </w:tcMar>
            <w:vAlign w:val="center"/>
          </w:tcPr>
          <w:p>
            <w:pPr>
              <w:pStyle w:val="6"/>
              <w:spacing w:before="120"/>
              <w:jc w:val="center"/>
              <w:rPr>
                <w:kern w:val="0"/>
              </w:rPr>
            </w:pPr>
          </w:p>
        </w:tc>
        <w:tc>
          <w:tcPr>
            <w:tcW w:w="824" w:type="pct"/>
            <w:vMerge w:val="continue"/>
            <w:noWrap/>
            <w:tcMar>
              <w:top w:w="15" w:type="dxa"/>
              <w:left w:w="15" w:type="dxa"/>
              <w:right w:w="15" w:type="dxa"/>
            </w:tcMar>
            <w:vAlign w:val="center"/>
          </w:tcPr>
          <w:p>
            <w:pPr>
              <w:pStyle w:val="6"/>
              <w:spacing w:before="120"/>
              <w:jc w:val="center"/>
              <w:rPr>
                <w:kern w:val="0"/>
              </w:rPr>
            </w:pPr>
          </w:p>
        </w:tc>
        <w:tc>
          <w:tcPr>
            <w:tcW w:w="1659" w:type="pct"/>
            <w:noWrap/>
            <w:tcMar>
              <w:top w:w="15" w:type="dxa"/>
              <w:left w:w="15" w:type="dxa"/>
              <w:right w:w="15" w:type="dxa"/>
            </w:tcMar>
            <w:vAlign w:val="center"/>
          </w:tcPr>
          <w:p>
            <w:pPr>
              <w:pStyle w:val="6"/>
              <w:spacing w:before="120"/>
              <w:jc w:val="center"/>
              <w:rPr>
                <w:kern w:val="0"/>
                <w:lang w:eastAsia="zh-CN"/>
              </w:rPr>
            </w:pPr>
            <w:r>
              <w:rPr>
                <w:kern w:val="0"/>
                <w:lang w:eastAsia="zh-CN"/>
              </w:rPr>
              <w:t>改造提升高标准农田产能不低于当地高标准农田产能的平均水平</w:t>
            </w:r>
          </w:p>
        </w:tc>
        <w:tc>
          <w:tcPr>
            <w:tcW w:w="1650" w:type="pct"/>
            <w:noWrap/>
            <w:tcMar>
              <w:top w:w="15" w:type="dxa"/>
              <w:left w:w="15" w:type="dxa"/>
              <w:right w:w="15" w:type="dxa"/>
            </w:tcMar>
            <w:vAlign w:val="center"/>
          </w:tcPr>
          <w:p>
            <w:pPr>
              <w:pStyle w:val="6"/>
              <w:spacing w:before="120"/>
              <w:jc w:val="center"/>
              <w:rPr>
                <w:kern w:val="0"/>
                <w:lang w:eastAsia="zh-CN"/>
              </w:rPr>
            </w:pPr>
            <w:r>
              <w:rPr>
                <w:kern w:val="0"/>
                <w:lang w:eastAsia="zh-CN"/>
              </w:rPr>
              <w:t>改造提升高标准农田产能不低于当地高标准农田产能的平均水平</w:t>
            </w:r>
          </w:p>
        </w:tc>
        <w:tc>
          <w:tcPr>
            <w:tcW w:w="512" w:type="pct"/>
            <w:vMerge w:val="continue"/>
            <w:noWrap/>
            <w:tcMar>
              <w:top w:w="15" w:type="dxa"/>
              <w:left w:w="15" w:type="dxa"/>
              <w:right w:w="15" w:type="dxa"/>
            </w:tcMar>
            <w:vAlign w:val="center"/>
          </w:tcPr>
          <w:p>
            <w:pPr>
              <w:pStyle w:val="6"/>
              <w:spacing w:before="120"/>
              <w:jc w:val="center"/>
              <w:rPr>
                <w:kern w:val="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3" w:type="pct"/>
            <w:noWrap/>
            <w:tcMar>
              <w:top w:w="15" w:type="dxa"/>
              <w:left w:w="15" w:type="dxa"/>
              <w:right w:w="15" w:type="dxa"/>
            </w:tcMar>
            <w:vAlign w:val="center"/>
          </w:tcPr>
          <w:p>
            <w:pPr>
              <w:pStyle w:val="6"/>
              <w:spacing w:before="120"/>
              <w:jc w:val="center"/>
              <w:rPr>
                <w:kern w:val="0"/>
              </w:rPr>
            </w:pPr>
            <w:r>
              <w:rPr>
                <w:kern w:val="0"/>
              </w:rPr>
              <w:t>4</w:t>
            </w:r>
          </w:p>
        </w:tc>
        <w:tc>
          <w:tcPr>
            <w:tcW w:w="824" w:type="pct"/>
            <w:noWrap/>
            <w:tcMar>
              <w:top w:w="15" w:type="dxa"/>
              <w:left w:w="15" w:type="dxa"/>
              <w:right w:w="15" w:type="dxa"/>
            </w:tcMar>
            <w:vAlign w:val="center"/>
          </w:tcPr>
          <w:p>
            <w:pPr>
              <w:pStyle w:val="6"/>
              <w:spacing w:before="120"/>
              <w:jc w:val="center"/>
              <w:rPr>
                <w:kern w:val="0"/>
                <w:lang w:eastAsia="zh-CN"/>
              </w:rPr>
            </w:pPr>
            <w:r>
              <w:rPr>
                <w:kern w:val="0"/>
                <w:lang w:eastAsia="zh-CN"/>
              </w:rPr>
              <w:t>新增建设高标准农田亩均节水率</w:t>
            </w:r>
          </w:p>
        </w:tc>
        <w:tc>
          <w:tcPr>
            <w:tcW w:w="1659" w:type="pct"/>
            <w:noWrap/>
            <w:tcMar>
              <w:top w:w="15" w:type="dxa"/>
              <w:left w:w="15" w:type="dxa"/>
              <w:right w:w="15" w:type="dxa"/>
            </w:tcMar>
            <w:vAlign w:val="center"/>
          </w:tcPr>
          <w:p>
            <w:pPr>
              <w:pStyle w:val="6"/>
              <w:spacing w:before="120"/>
              <w:jc w:val="center"/>
              <w:rPr>
                <w:kern w:val="0"/>
              </w:rPr>
            </w:pPr>
            <w:r>
              <w:rPr>
                <w:kern w:val="0"/>
              </w:rPr>
              <w:t>10%以上</w:t>
            </w:r>
          </w:p>
        </w:tc>
        <w:tc>
          <w:tcPr>
            <w:tcW w:w="1650" w:type="pct"/>
            <w:noWrap/>
            <w:tcMar>
              <w:top w:w="15" w:type="dxa"/>
              <w:left w:w="15" w:type="dxa"/>
              <w:right w:w="15" w:type="dxa"/>
            </w:tcMar>
            <w:vAlign w:val="center"/>
          </w:tcPr>
          <w:p>
            <w:pPr>
              <w:pStyle w:val="6"/>
              <w:spacing w:before="120"/>
              <w:jc w:val="center"/>
              <w:rPr>
                <w:kern w:val="0"/>
              </w:rPr>
            </w:pPr>
            <w:r>
              <w:rPr>
                <w:kern w:val="0"/>
              </w:rPr>
              <w:t>10%以上</w:t>
            </w:r>
          </w:p>
        </w:tc>
        <w:tc>
          <w:tcPr>
            <w:tcW w:w="512" w:type="pct"/>
            <w:noWrap/>
            <w:tcMar>
              <w:top w:w="15" w:type="dxa"/>
              <w:left w:w="15" w:type="dxa"/>
              <w:right w:w="15" w:type="dxa"/>
            </w:tcMar>
            <w:vAlign w:val="center"/>
          </w:tcPr>
          <w:p>
            <w:pPr>
              <w:pStyle w:val="6"/>
              <w:spacing w:before="120"/>
              <w:jc w:val="center"/>
              <w:rPr>
                <w:kern w:val="0"/>
              </w:rPr>
            </w:pPr>
            <w:r>
              <w:rPr>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53" w:type="pct"/>
            <w:noWrap/>
            <w:tcMar>
              <w:top w:w="15" w:type="dxa"/>
              <w:left w:w="15" w:type="dxa"/>
              <w:right w:w="15" w:type="dxa"/>
            </w:tcMar>
            <w:vAlign w:val="center"/>
          </w:tcPr>
          <w:p>
            <w:pPr>
              <w:pStyle w:val="6"/>
              <w:spacing w:before="120"/>
              <w:jc w:val="center"/>
              <w:rPr>
                <w:kern w:val="0"/>
              </w:rPr>
            </w:pPr>
            <w:r>
              <w:rPr>
                <w:kern w:val="0"/>
              </w:rPr>
              <w:t>5</w:t>
            </w:r>
          </w:p>
        </w:tc>
        <w:tc>
          <w:tcPr>
            <w:tcW w:w="824" w:type="pct"/>
            <w:noWrap/>
            <w:tcMar>
              <w:top w:w="15" w:type="dxa"/>
              <w:left w:w="15" w:type="dxa"/>
              <w:right w:w="15" w:type="dxa"/>
            </w:tcMar>
            <w:vAlign w:val="center"/>
          </w:tcPr>
          <w:p>
            <w:pPr>
              <w:pStyle w:val="6"/>
              <w:spacing w:before="120"/>
              <w:jc w:val="center"/>
              <w:rPr>
                <w:kern w:val="0"/>
                <w:lang w:eastAsia="zh-CN"/>
              </w:rPr>
            </w:pPr>
            <w:r>
              <w:rPr>
                <w:kern w:val="0"/>
                <w:lang w:eastAsia="zh-CN"/>
              </w:rPr>
              <w:t>建成高标准农田上图入库覆盖率</w:t>
            </w:r>
          </w:p>
        </w:tc>
        <w:tc>
          <w:tcPr>
            <w:tcW w:w="1659" w:type="pct"/>
            <w:noWrap/>
            <w:tcMar>
              <w:top w:w="15" w:type="dxa"/>
              <w:left w:w="15" w:type="dxa"/>
              <w:right w:w="15" w:type="dxa"/>
            </w:tcMar>
            <w:vAlign w:val="center"/>
          </w:tcPr>
          <w:p>
            <w:pPr>
              <w:pStyle w:val="6"/>
              <w:spacing w:before="120"/>
              <w:jc w:val="center"/>
              <w:rPr>
                <w:kern w:val="0"/>
              </w:rPr>
            </w:pPr>
            <w:r>
              <w:rPr>
                <w:kern w:val="0"/>
              </w:rPr>
              <w:t>100%</w:t>
            </w:r>
          </w:p>
        </w:tc>
        <w:tc>
          <w:tcPr>
            <w:tcW w:w="1650" w:type="pct"/>
            <w:noWrap/>
            <w:tcMar>
              <w:top w:w="15" w:type="dxa"/>
              <w:left w:w="15" w:type="dxa"/>
              <w:right w:w="15" w:type="dxa"/>
            </w:tcMar>
            <w:vAlign w:val="center"/>
          </w:tcPr>
          <w:p>
            <w:pPr>
              <w:pStyle w:val="6"/>
              <w:spacing w:before="120"/>
              <w:jc w:val="center"/>
              <w:rPr>
                <w:kern w:val="0"/>
              </w:rPr>
            </w:pPr>
            <w:r>
              <w:rPr>
                <w:kern w:val="0"/>
              </w:rPr>
              <w:t>100%</w:t>
            </w:r>
          </w:p>
        </w:tc>
        <w:tc>
          <w:tcPr>
            <w:tcW w:w="512" w:type="pct"/>
            <w:noWrap/>
            <w:tcMar>
              <w:top w:w="15" w:type="dxa"/>
              <w:left w:w="15" w:type="dxa"/>
              <w:right w:w="15" w:type="dxa"/>
            </w:tcMar>
            <w:vAlign w:val="center"/>
          </w:tcPr>
          <w:p>
            <w:pPr>
              <w:pStyle w:val="6"/>
              <w:spacing w:before="120"/>
              <w:jc w:val="center"/>
              <w:rPr>
                <w:kern w:val="0"/>
              </w:rPr>
            </w:pPr>
            <w:r>
              <w:rPr>
                <w:kern w:val="0"/>
              </w:rPr>
              <w:t>预期性</w:t>
            </w:r>
          </w:p>
        </w:tc>
      </w:tr>
    </w:tbl>
    <w:p>
      <w:pPr>
        <w:ind w:firstLine="632"/>
      </w:pPr>
      <w:r>
        <w:t>高标准农田建设主要涉及田、土、水、路、林、电、技、管8个方面目标。</w:t>
      </w:r>
    </w:p>
    <w:p>
      <w:pPr>
        <w:ind w:firstLine="634"/>
      </w:pPr>
      <w:r>
        <w:rPr>
          <w:rFonts w:hint="eastAsia"/>
          <w:b/>
          <w:bCs/>
        </w:rPr>
        <w:t>（一）</w:t>
      </w:r>
      <w:r>
        <w:rPr>
          <w:b/>
          <w:bCs/>
        </w:rPr>
        <w:t>田</w:t>
      </w:r>
      <w:r>
        <w:rPr>
          <w:rFonts w:hint="eastAsia"/>
          <w:b/>
          <w:bCs/>
        </w:rPr>
        <w:t>：</w:t>
      </w:r>
      <w:r>
        <w:t>通过合理归并和平整土地、坡耕地田坎修筑，实现田块规模适度、集中连片、田面平整，耕作层厚度适宜，山地丘陵区梯田化率提高。</w:t>
      </w:r>
    </w:p>
    <w:p>
      <w:pPr>
        <w:ind w:firstLine="634"/>
      </w:pPr>
      <w:r>
        <w:rPr>
          <w:rFonts w:hint="eastAsia"/>
          <w:b/>
          <w:bCs/>
        </w:rPr>
        <w:t>（二）</w:t>
      </w:r>
      <w:r>
        <w:rPr>
          <w:b/>
          <w:bCs/>
        </w:rPr>
        <w:t>土</w:t>
      </w:r>
      <w:r>
        <w:rPr>
          <w:rFonts w:hint="eastAsia"/>
          <w:b/>
          <w:bCs/>
        </w:rPr>
        <w:t>：</w:t>
      </w:r>
      <w:r>
        <w:t>通过培肥改良，实现土壤通透性能好、保水保肥能力强、酸碱平衡、土壤养分平衡，着力提高耕地内在质量和产出能力。</w:t>
      </w:r>
    </w:p>
    <w:p>
      <w:pPr>
        <w:ind w:firstLine="634"/>
      </w:pPr>
      <w:r>
        <w:rPr>
          <w:rFonts w:hint="eastAsia"/>
          <w:b/>
          <w:bCs/>
        </w:rPr>
        <w:t>（三）</w:t>
      </w:r>
      <w:r>
        <w:rPr>
          <w:b/>
          <w:bCs/>
        </w:rPr>
        <w:t>水</w:t>
      </w:r>
      <w:r>
        <w:rPr>
          <w:rFonts w:hint="eastAsia"/>
          <w:b/>
          <w:bCs/>
        </w:rPr>
        <w:t>：</w:t>
      </w:r>
      <w:r>
        <w:t>通过加强田间灌排设施建设和推进高效节水灌溉等，增加有效灌溉面积，提高灌溉保证率、用水效率和农田防洪排涝标准，实现旱涝保收。</w:t>
      </w:r>
    </w:p>
    <w:p>
      <w:pPr>
        <w:ind w:firstLine="634"/>
      </w:pPr>
      <w:r>
        <w:rPr>
          <w:rFonts w:hint="eastAsia"/>
          <w:b/>
          <w:bCs/>
        </w:rPr>
        <w:t>（四）</w:t>
      </w:r>
      <w:r>
        <w:rPr>
          <w:b/>
          <w:bCs/>
        </w:rPr>
        <w:t>路</w:t>
      </w:r>
      <w:r>
        <w:rPr>
          <w:rFonts w:hint="eastAsia"/>
          <w:b/>
          <w:bCs/>
        </w:rPr>
        <w:t>：</w:t>
      </w:r>
      <w:r>
        <w:t>通过田间道</w:t>
      </w:r>
      <w:r>
        <w:rPr>
          <w:rFonts w:hint="eastAsia"/>
        </w:rPr>
        <w:t>（</w:t>
      </w:r>
      <w:r>
        <w:t>机耕路</w:t>
      </w:r>
      <w:r>
        <w:rPr>
          <w:rFonts w:hint="eastAsia"/>
        </w:rPr>
        <w:t>）</w:t>
      </w:r>
      <w:r>
        <w:t>和生产路建设、桥涵配套，合理增加路面宽度，提高道路的荷载标准和通达度，满足农机作业、生产物流要求。</w:t>
      </w:r>
    </w:p>
    <w:p>
      <w:pPr>
        <w:ind w:firstLine="634"/>
      </w:pPr>
      <w:r>
        <w:rPr>
          <w:rFonts w:hint="eastAsia"/>
          <w:b/>
          <w:bCs/>
        </w:rPr>
        <w:t>（五）</w:t>
      </w:r>
      <w:r>
        <w:rPr>
          <w:b/>
          <w:bCs/>
        </w:rPr>
        <w:t>林</w:t>
      </w:r>
      <w:r>
        <w:rPr>
          <w:rFonts w:hint="eastAsia"/>
          <w:b/>
          <w:bCs/>
        </w:rPr>
        <w:t>：</w:t>
      </w:r>
      <w:r>
        <w:t>通过农田林网、岸坡防护、沟道治理等农田防护和生态环境保护工程建设，改善农田生态环境，提高农田防御风沙灾害和防止水土流失能力。</w:t>
      </w:r>
    </w:p>
    <w:p>
      <w:pPr>
        <w:ind w:firstLine="634"/>
      </w:pPr>
      <w:r>
        <w:rPr>
          <w:rFonts w:hint="eastAsia"/>
          <w:b/>
          <w:bCs/>
        </w:rPr>
        <w:t>（六）</w:t>
      </w:r>
      <w:r>
        <w:rPr>
          <w:b/>
          <w:bCs/>
        </w:rPr>
        <w:t>电</w:t>
      </w:r>
      <w:r>
        <w:rPr>
          <w:rFonts w:hint="eastAsia"/>
          <w:b/>
          <w:bCs/>
        </w:rPr>
        <w:t>：</w:t>
      </w:r>
      <w:r>
        <w:t>通过完善农田电网、配套相应的输配电设施，满足农田设施用电需求，降低农业生产成本，提高农业生产的效率和效益。</w:t>
      </w:r>
    </w:p>
    <w:p>
      <w:pPr>
        <w:ind w:firstLine="634"/>
      </w:pPr>
      <w:r>
        <w:rPr>
          <w:rFonts w:hint="eastAsia"/>
          <w:b/>
          <w:bCs/>
        </w:rPr>
        <w:t>（七）</w:t>
      </w:r>
      <w:r>
        <w:rPr>
          <w:b/>
          <w:bCs/>
        </w:rPr>
        <w:t>技</w:t>
      </w:r>
      <w:r>
        <w:rPr>
          <w:rFonts w:hint="eastAsia"/>
          <w:b/>
          <w:bCs/>
        </w:rPr>
        <w:t>：</w:t>
      </w:r>
      <w:r>
        <w:t>通过工程措施与农艺技术相结合，推广数字农业、良种良法、病虫害绿色防控、节水节肥减药等技术，提高农田可持续利用水平和综合生产能力。</w:t>
      </w:r>
    </w:p>
    <w:p>
      <w:pPr>
        <w:ind w:firstLine="634"/>
      </w:pPr>
      <w:r>
        <w:rPr>
          <w:rFonts w:hint="eastAsia"/>
          <w:b/>
          <w:bCs/>
        </w:rPr>
        <w:t>（八）</w:t>
      </w:r>
      <w:r>
        <w:rPr>
          <w:b/>
          <w:bCs/>
        </w:rPr>
        <w:t>管</w:t>
      </w:r>
      <w:r>
        <w:rPr>
          <w:rFonts w:hint="eastAsia"/>
          <w:b/>
          <w:bCs/>
        </w:rPr>
        <w:t>：</w:t>
      </w:r>
      <w:r>
        <w:t>通过上图入库和全程管理，落实建后管护主体和责任、管护资金，完善管护机制，确保建成的工程设施在设计使用年限内正常运行、高标准农田用途不改变、质量有提高。</w:t>
      </w:r>
    </w:p>
    <w:p>
      <w:pPr>
        <w:pStyle w:val="6"/>
        <w:rPr>
          <w:lang w:eastAsia="zh-CN"/>
        </w:rPr>
      </w:pPr>
    </w:p>
    <w:p>
      <w:pPr>
        <w:ind w:firstLine="0" w:firstLineChars="0"/>
        <w:jc w:val="center"/>
        <w:rPr>
          <w:b/>
          <w:bCs/>
        </w:rPr>
      </w:pPr>
      <w:bookmarkStart w:id="128" w:name="_Toc18819"/>
      <w:r>
        <w:rPr>
          <w:rFonts w:hint="eastAsia"/>
          <w:b/>
          <w:bCs/>
        </w:rPr>
        <w:t>表2-2 整区域推进示范</w:t>
      </w:r>
      <w:bookmarkEnd w:id="128"/>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000" w:type="pct"/>
            <w:noWrap/>
            <w:tcMar>
              <w:top w:w="15" w:type="dxa"/>
              <w:left w:w="15" w:type="dxa"/>
              <w:right w:w="15" w:type="dxa"/>
            </w:tcMar>
            <w:vAlign w:val="center"/>
          </w:tcPr>
          <w:p>
            <w:pPr>
              <w:ind w:firstLine="632"/>
            </w:pPr>
            <w:r>
              <w:rPr>
                <w:rFonts w:hint="eastAsia"/>
                <w:kern w:val="0"/>
              </w:rPr>
              <w:t>在潜力大、基础条件好、积极性高的地区，整区域推进高标准农田建设，基本实现区域内划定的永久基本农田全部建成高标准农田。通过整区域推进，集聚要素、创新机制、树立典型、总结经验，引领带动高标准农田建设高质量发展。</w:t>
            </w:r>
          </w:p>
        </w:tc>
      </w:tr>
    </w:tbl>
    <w:p>
      <w:pPr>
        <w:ind w:firstLine="632"/>
        <w:sectPr>
          <w:footerReference r:id="rId13" w:type="default"/>
          <w:pgSz w:w="11950" w:h="16850"/>
          <w:pgMar w:top="1417" w:right="1417" w:bottom="1417" w:left="1417" w:header="850" w:footer="1020" w:gutter="0"/>
          <w:cols w:space="720" w:num="1"/>
        </w:sectPr>
      </w:pPr>
    </w:p>
    <w:p>
      <w:pPr>
        <w:pStyle w:val="3"/>
      </w:pPr>
      <w:bookmarkStart w:id="129" w:name="_Toc4254"/>
      <w:bookmarkStart w:id="130" w:name="_Toc31020"/>
      <w:bookmarkStart w:id="131" w:name="_Toc27261"/>
      <w:r>
        <w:t>第</w:t>
      </w:r>
      <w:r>
        <w:rPr>
          <w:rFonts w:hint="eastAsia"/>
        </w:rPr>
        <w:t>三</w:t>
      </w:r>
      <w:r>
        <w:t>章建设</w:t>
      </w:r>
      <w:r>
        <w:rPr>
          <w:rFonts w:hint="eastAsia"/>
        </w:rPr>
        <w:t>内容</w:t>
      </w:r>
      <w:r>
        <w:t>和建设</w:t>
      </w:r>
      <w:bookmarkEnd w:id="129"/>
      <w:bookmarkEnd w:id="130"/>
      <w:r>
        <w:rPr>
          <w:rFonts w:hint="eastAsia"/>
        </w:rPr>
        <w:t>标准</w:t>
      </w:r>
      <w:bookmarkEnd w:id="131"/>
    </w:p>
    <w:p>
      <w:pPr>
        <w:pStyle w:val="5"/>
        <w:spacing w:before="72" w:after="72"/>
        <w:rPr>
          <w:kern w:val="0"/>
          <w:lang w:eastAsia="zh-CN"/>
        </w:rPr>
      </w:pPr>
      <w:bookmarkStart w:id="132" w:name="_Toc28735"/>
      <w:bookmarkStart w:id="133" w:name="_Toc16533"/>
      <w:bookmarkStart w:id="134" w:name="_Toc18770"/>
      <w:r>
        <w:rPr>
          <w:kern w:val="0"/>
          <w:lang w:eastAsia="zh-CN"/>
        </w:rPr>
        <w:t>第</w:t>
      </w:r>
      <w:r>
        <w:rPr>
          <w:rFonts w:hint="eastAsia"/>
          <w:kern w:val="0"/>
          <w:lang w:eastAsia="zh-CN"/>
        </w:rPr>
        <w:t>一</w:t>
      </w:r>
      <w:r>
        <w:rPr>
          <w:kern w:val="0"/>
          <w:lang w:eastAsia="zh-CN"/>
        </w:rPr>
        <w:t>节建设内容</w:t>
      </w:r>
      <w:bookmarkEnd w:id="132"/>
      <w:bookmarkEnd w:id="133"/>
      <w:bookmarkEnd w:id="134"/>
    </w:p>
    <w:p>
      <w:pPr>
        <w:ind w:firstLine="632"/>
      </w:pPr>
      <w:r>
        <w:t>建设内容应强化基础设施建设</w:t>
      </w:r>
      <w:r>
        <w:rPr>
          <w:rFonts w:hint="eastAsia"/>
        </w:rPr>
        <w:t>，</w:t>
      </w:r>
      <w:r>
        <w:t>助推乡村振兴战略实施</w:t>
      </w:r>
      <w:r>
        <w:rPr>
          <w:rFonts w:hint="eastAsia"/>
        </w:rPr>
        <w:t>，</w:t>
      </w:r>
      <w:r>
        <w:t>改善农业生产基本条件</w:t>
      </w:r>
      <w:r>
        <w:rPr>
          <w:rFonts w:hint="eastAsia"/>
        </w:rPr>
        <w:t>，</w:t>
      </w:r>
      <w:r>
        <w:t>全力构建完善的农田配套设施</w:t>
      </w:r>
      <w:r>
        <w:rPr>
          <w:rFonts w:hint="eastAsia"/>
        </w:rPr>
        <w:t>，</w:t>
      </w:r>
      <w:r>
        <w:t>高效的农业生产格局</w:t>
      </w:r>
      <w:r>
        <w:rPr>
          <w:rFonts w:hint="eastAsia"/>
        </w:rPr>
        <w:t>，</w:t>
      </w:r>
      <w:r>
        <w:t>优质的土壤种植基础</w:t>
      </w:r>
      <w:r>
        <w:rPr>
          <w:rFonts w:hint="eastAsia"/>
        </w:rPr>
        <w:t>，</w:t>
      </w:r>
      <w:r>
        <w:t>良好的农业生态环境</w:t>
      </w:r>
      <w:r>
        <w:rPr>
          <w:rFonts w:hint="eastAsia"/>
        </w:rPr>
        <w:t>，</w:t>
      </w:r>
      <w:r>
        <w:t>为乡村产业兴旺作出贡献</w:t>
      </w:r>
      <w:r>
        <w:rPr>
          <w:rFonts w:hint="eastAsia"/>
        </w:rPr>
        <w:t>。</w:t>
      </w:r>
      <w:r>
        <w:t>通过各项工程建设内容的实施</w:t>
      </w:r>
      <w:r>
        <w:rPr>
          <w:rFonts w:hint="eastAsia"/>
        </w:rPr>
        <w:t>，</w:t>
      </w:r>
      <w:r>
        <w:t>促进农田集中连片</w:t>
      </w:r>
      <w:r>
        <w:rPr>
          <w:rFonts w:hint="eastAsia"/>
        </w:rPr>
        <w:t>，</w:t>
      </w:r>
      <w:r>
        <w:t>增加有效耕地面积</w:t>
      </w:r>
      <w:r>
        <w:rPr>
          <w:rFonts w:hint="eastAsia"/>
        </w:rPr>
        <w:t>，</w:t>
      </w:r>
      <w:r>
        <w:t>提升耕地质量</w:t>
      </w:r>
      <w:r>
        <w:rPr>
          <w:rFonts w:hint="eastAsia"/>
        </w:rPr>
        <w:t>，</w:t>
      </w:r>
      <w:r>
        <w:t>优化土地利用结构与布局</w:t>
      </w:r>
      <w:r>
        <w:rPr>
          <w:rFonts w:hint="eastAsia"/>
        </w:rPr>
        <w:t>，</w:t>
      </w:r>
      <w:r>
        <w:t>实现节约集约利用和规模效益</w:t>
      </w:r>
      <w:r>
        <w:rPr>
          <w:rFonts w:hint="eastAsia"/>
        </w:rPr>
        <w:t>；</w:t>
      </w:r>
      <w:r>
        <w:t>完善基础设施</w:t>
      </w:r>
      <w:r>
        <w:rPr>
          <w:rFonts w:hint="eastAsia"/>
        </w:rPr>
        <w:t>，</w:t>
      </w:r>
      <w:r>
        <w:t>改善农业生产条件</w:t>
      </w:r>
      <w:r>
        <w:rPr>
          <w:rFonts w:hint="eastAsia"/>
        </w:rPr>
        <w:t>，</w:t>
      </w:r>
      <w:r>
        <w:t>增强防灾减灾能力</w:t>
      </w:r>
      <w:r>
        <w:rPr>
          <w:rFonts w:hint="eastAsia"/>
        </w:rPr>
        <w:t>；</w:t>
      </w:r>
      <w:r>
        <w:t>加强农田生态建设和环境保护</w:t>
      </w:r>
      <w:r>
        <w:rPr>
          <w:rFonts w:hint="eastAsia"/>
        </w:rPr>
        <w:t>，</w:t>
      </w:r>
      <w:r>
        <w:t>发挥生产</w:t>
      </w:r>
      <w:r>
        <w:rPr>
          <w:rFonts w:hint="eastAsia"/>
        </w:rPr>
        <w:t>、</w:t>
      </w:r>
      <w:r>
        <w:t>生态</w:t>
      </w:r>
      <w:r>
        <w:rPr>
          <w:rFonts w:hint="eastAsia"/>
        </w:rPr>
        <w:t>、</w:t>
      </w:r>
      <w:r>
        <w:t>景观的综合功能</w:t>
      </w:r>
      <w:r>
        <w:rPr>
          <w:rFonts w:hint="eastAsia"/>
        </w:rPr>
        <w:t>；</w:t>
      </w:r>
      <w:r>
        <w:t>建立监测</w:t>
      </w:r>
      <w:r>
        <w:rPr>
          <w:rFonts w:hint="eastAsia"/>
        </w:rPr>
        <w:t>、</w:t>
      </w:r>
      <w:r>
        <w:t>评价和管护体系</w:t>
      </w:r>
      <w:r>
        <w:rPr>
          <w:rFonts w:hint="eastAsia"/>
        </w:rPr>
        <w:t>，</w:t>
      </w:r>
      <w:r>
        <w:t>实现农田持续高效利用</w:t>
      </w:r>
      <w:r>
        <w:rPr>
          <w:rFonts w:hint="eastAsia"/>
        </w:rPr>
        <w:t>。</w:t>
      </w:r>
      <w:r>
        <w:t>建成后耕地质量等级达到所在县的较高等级</w:t>
      </w:r>
      <w:r>
        <w:rPr>
          <w:rFonts w:hint="eastAsia"/>
        </w:rPr>
        <w:t>，</w:t>
      </w:r>
      <w:r>
        <w:t>粮食综合生产能力有显著提高</w:t>
      </w:r>
      <w:r>
        <w:rPr>
          <w:rFonts w:hint="eastAsia"/>
        </w:rPr>
        <w:t>，</w:t>
      </w:r>
      <w:r>
        <w:t>粮食产量水平达到当地高产水平</w:t>
      </w:r>
      <w:r>
        <w:rPr>
          <w:rFonts w:hint="eastAsia"/>
        </w:rPr>
        <w:t>，</w:t>
      </w:r>
      <w:r>
        <w:t>并保持持续增产能力</w:t>
      </w:r>
      <w:r>
        <w:rPr>
          <w:rFonts w:hint="eastAsia"/>
        </w:rPr>
        <w:t>；</w:t>
      </w:r>
      <w:r>
        <w:t>建成后的农机农艺配套水平和农业机械耕作率显著提高。</w:t>
      </w:r>
    </w:p>
    <w:p>
      <w:pPr>
        <w:ind w:firstLine="632"/>
      </w:pPr>
      <w:r>
        <w:rPr>
          <w:rFonts w:hint="eastAsia"/>
        </w:rPr>
        <w:t>我区</w:t>
      </w:r>
      <w:r>
        <w:t>高度重视生态型高标准农田建设，以高标准农田建设为平台，从选址立项到设计、实施、监管、后期管护都贯穿生态环保和节能减排的理念，在优化土地结构、提高耕地质量和产出率、增加农民收入的前提下，采用生态环保的工程技术措施对村域内进行综合整治，解决高标准农田建设与生态低碳相冲突的主要矛盾，有效地寻找两者之间的平衡点，既能满足生产生活需求，实现土地资源的可持续与高效利用，又能保持和维护农田生态系统平衡，保护生物多样性，降低碳排放和能源的消耗，达到生态效益、经济效益和社会效益有机统一的高标准农田建设要求。</w:t>
      </w:r>
    </w:p>
    <w:p>
      <w:pPr>
        <w:ind w:firstLine="0" w:firstLineChars="0"/>
        <w:jc w:val="center"/>
        <w:rPr>
          <w:b/>
          <w:bCs/>
        </w:rPr>
      </w:pPr>
      <w:bookmarkStart w:id="135" w:name="_Toc32572"/>
      <w:r>
        <w:rPr>
          <w:rFonts w:hint="eastAsia"/>
          <w:b/>
          <w:bCs/>
        </w:rPr>
        <w:t>表3-1 生态型高标准农田建设</w:t>
      </w:r>
      <w:bookmarkEnd w:id="135"/>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000" w:type="pct"/>
            <w:noWrap/>
            <w:tcMar>
              <w:top w:w="15" w:type="dxa"/>
              <w:left w:w="15" w:type="dxa"/>
              <w:right w:w="15" w:type="dxa"/>
            </w:tcMar>
            <w:vAlign w:val="center"/>
          </w:tcPr>
          <w:p>
            <w:pPr>
              <w:ind w:firstLine="632"/>
              <w:rPr>
                <w:kern w:val="0"/>
              </w:rPr>
            </w:pPr>
            <w:r>
              <w:rPr>
                <w:rFonts w:hint="eastAsia"/>
                <w:kern w:val="0"/>
              </w:rPr>
              <w:t>生态型高标准农田建设采用生态环保的工程技术措施对村域内进行综合整治，实现土地资源的可持续与高效利用，又能保持和维护农田生态系统平衡，保护生物多样性，降低碳排放和能源的消耗，达到生态效益、经济效益和社会效益有机统一的高标准农田建设要求。</w:t>
            </w:r>
          </w:p>
        </w:tc>
      </w:tr>
    </w:tbl>
    <w:p>
      <w:pPr>
        <w:ind w:left="632" w:leftChars="200" w:firstLine="0" w:firstLineChars="0"/>
        <w:rPr>
          <w:b/>
          <w:bCs/>
        </w:rPr>
      </w:pPr>
      <w:bookmarkStart w:id="136" w:name="_bookmark5"/>
      <w:bookmarkEnd w:id="136"/>
      <w:bookmarkStart w:id="137" w:name="_bookmark6"/>
      <w:bookmarkEnd w:id="137"/>
    </w:p>
    <w:p>
      <w:pPr>
        <w:ind w:left="632" w:leftChars="200" w:firstLine="0" w:firstLineChars="0"/>
        <w:rPr>
          <w:b/>
          <w:bCs/>
        </w:rPr>
      </w:pPr>
      <w:r>
        <w:rPr>
          <w:rFonts w:hint="eastAsia"/>
          <w:b/>
          <w:bCs/>
        </w:rPr>
        <w:t>一、</w:t>
      </w:r>
      <w:r>
        <w:rPr>
          <w:b/>
          <w:bCs/>
        </w:rPr>
        <w:t>平整土地。</w:t>
      </w:r>
    </w:p>
    <w:p>
      <w:pPr>
        <w:ind w:firstLine="632"/>
      </w:pPr>
      <w:r>
        <w:t>根据土地利用现状确定的耕地和永久基本农田布局</w:t>
      </w:r>
      <w:r>
        <w:rPr>
          <w:rFonts w:hint="eastAsia"/>
        </w:rPr>
        <w:t>，</w:t>
      </w:r>
      <w:r>
        <w:t>充分考虑水资源承载能力和生态容量等因素</w:t>
      </w:r>
      <w:r>
        <w:rPr>
          <w:rFonts w:hint="eastAsia"/>
        </w:rPr>
        <w:t>，</w:t>
      </w:r>
      <w:r>
        <w:t>进一步优化农田结构布局</w:t>
      </w:r>
      <w:r>
        <w:rPr>
          <w:rFonts w:hint="eastAsia"/>
        </w:rPr>
        <w:t>。</w:t>
      </w:r>
      <w:r>
        <w:t>合理划分和适度归并田块</w:t>
      </w:r>
      <w:r>
        <w:rPr>
          <w:rFonts w:hint="eastAsia"/>
        </w:rPr>
        <w:t>，</w:t>
      </w:r>
      <w:r>
        <w:t>平整土地</w:t>
      </w:r>
      <w:r>
        <w:rPr>
          <w:rFonts w:hint="eastAsia"/>
        </w:rPr>
        <w:t>，</w:t>
      </w:r>
      <w:r>
        <w:t>减小农田地表坡降。根据地形地貌</w:t>
      </w:r>
      <w:r>
        <w:rPr>
          <w:rFonts w:hint="eastAsia"/>
        </w:rPr>
        <w:t>、</w:t>
      </w:r>
      <w:r>
        <w:t>作物种类</w:t>
      </w:r>
      <w:r>
        <w:rPr>
          <w:rFonts w:hint="eastAsia"/>
        </w:rPr>
        <w:t>、</w:t>
      </w:r>
      <w:r>
        <w:t>机械作业效率</w:t>
      </w:r>
      <w:r>
        <w:rPr>
          <w:rFonts w:hint="eastAsia"/>
        </w:rPr>
        <w:t>、</w:t>
      </w:r>
      <w:r>
        <w:t>灌排效率和防止风害等因素</w:t>
      </w:r>
      <w:r>
        <w:rPr>
          <w:rFonts w:hint="eastAsia"/>
        </w:rPr>
        <w:t>，</w:t>
      </w:r>
      <w:r>
        <w:t>合理确定田块的长度</w:t>
      </w:r>
      <w:r>
        <w:rPr>
          <w:rFonts w:hint="eastAsia"/>
        </w:rPr>
        <w:t>、</w:t>
      </w:r>
      <w:r>
        <w:t>宽度和方向</w:t>
      </w:r>
      <w:r>
        <w:rPr>
          <w:rFonts w:hint="eastAsia"/>
        </w:rPr>
        <w:t>，</w:t>
      </w:r>
      <w:r>
        <w:t>适应农业机械化</w:t>
      </w:r>
      <w:r>
        <w:rPr>
          <w:rFonts w:hint="eastAsia"/>
        </w:rPr>
        <w:t>、</w:t>
      </w:r>
      <w:r>
        <w:t>规模化的需要</w:t>
      </w:r>
      <w:r>
        <w:rPr>
          <w:rFonts w:hint="eastAsia"/>
        </w:rPr>
        <w:t>。</w:t>
      </w:r>
      <w:r>
        <w:t>平整时</w:t>
      </w:r>
      <w:r>
        <w:rPr>
          <w:rFonts w:hint="eastAsia"/>
        </w:rPr>
        <w:t>，</w:t>
      </w:r>
      <w:r>
        <w:t>要保护耕作层土壤</w:t>
      </w:r>
      <w:r>
        <w:rPr>
          <w:rFonts w:hint="eastAsia"/>
        </w:rPr>
        <w:t>，</w:t>
      </w:r>
      <w:r>
        <w:t>同时深翻深松土地</w:t>
      </w:r>
      <w:r>
        <w:rPr>
          <w:rFonts w:hint="eastAsia"/>
        </w:rPr>
        <w:t>，</w:t>
      </w:r>
      <w:r>
        <w:t>打破障碍层</w:t>
      </w:r>
      <w:r>
        <w:rPr>
          <w:rFonts w:hint="eastAsia"/>
        </w:rPr>
        <w:t>，</w:t>
      </w:r>
      <w:r>
        <w:t>改善农田耕作层;通过建设占用耕地进行耕作层剥离再利用</w:t>
      </w:r>
      <w:r>
        <w:rPr>
          <w:rFonts w:hint="eastAsia"/>
        </w:rPr>
        <w:t>，</w:t>
      </w:r>
      <w:r>
        <w:t>增加有效土层厚度</w:t>
      </w:r>
      <w:r>
        <w:rPr>
          <w:rFonts w:hint="eastAsia"/>
        </w:rPr>
        <w:t>。</w:t>
      </w:r>
    </w:p>
    <w:p>
      <w:pPr>
        <w:ind w:left="632" w:leftChars="200" w:firstLine="0" w:firstLineChars="0"/>
        <w:rPr>
          <w:b/>
          <w:bCs/>
        </w:rPr>
      </w:pPr>
      <w:r>
        <w:rPr>
          <w:rFonts w:hint="eastAsia"/>
          <w:b/>
          <w:bCs/>
        </w:rPr>
        <w:t>二、</w:t>
      </w:r>
      <w:r>
        <w:rPr>
          <w:b/>
          <w:bCs/>
        </w:rPr>
        <w:t>改良土壤。</w:t>
      </w:r>
    </w:p>
    <w:p>
      <w:pPr>
        <w:ind w:firstLine="632"/>
      </w:pPr>
      <w:r>
        <w:t>采用农艺</w:t>
      </w:r>
      <w:r>
        <w:rPr>
          <w:rFonts w:hint="eastAsia"/>
        </w:rPr>
        <w:t>、</w:t>
      </w:r>
      <w:r>
        <w:t>生物</w:t>
      </w:r>
      <w:r>
        <w:rPr>
          <w:rFonts w:hint="eastAsia"/>
        </w:rPr>
        <w:t>、</w:t>
      </w:r>
      <w:r>
        <w:t>工程等措施</w:t>
      </w:r>
      <w:r>
        <w:rPr>
          <w:rFonts w:hint="eastAsia"/>
        </w:rPr>
        <w:t>，</w:t>
      </w:r>
      <w:r>
        <w:t>对田间基础设施配套建设后的耕地</w:t>
      </w:r>
      <w:r>
        <w:rPr>
          <w:rFonts w:hint="eastAsia"/>
        </w:rPr>
        <w:t>，</w:t>
      </w:r>
      <w:r>
        <w:t>进行土壤改良</w:t>
      </w:r>
      <w:r>
        <w:rPr>
          <w:rFonts w:hint="eastAsia"/>
        </w:rPr>
        <w:t>、</w:t>
      </w:r>
      <w:r>
        <w:t>地力培肥</w:t>
      </w:r>
      <w:r>
        <w:rPr>
          <w:rFonts w:hint="eastAsia"/>
        </w:rPr>
        <w:t>。</w:t>
      </w:r>
      <w:r>
        <w:t>通过施用有机肥</w:t>
      </w:r>
      <w:r>
        <w:rPr>
          <w:rFonts w:hint="eastAsia"/>
        </w:rPr>
        <w:t>、</w:t>
      </w:r>
      <w:r>
        <w:t>秸秆还田</w:t>
      </w:r>
      <w:r>
        <w:rPr>
          <w:rFonts w:hint="eastAsia"/>
        </w:rPr>
        <w:t>、</w:t>
      </w:r>
      <w:r>
        <w:t>种植绿肥翻埋还田等措施</w:t>
      </w:r>
      <w:r>
        <w:rPr>
          <w:rFonts w:hint="eastAsia"/>
        </w:rPr>
        <w:t>，</w:t>
      </w:r>
      <w:r>
        <w:t>提升土壤有机质含量。通过深耕</w:t>
      </w:r>
      <w:r>
        <w:rPr>
          <w:rFonts w:hint="eastAsia"/>
        </w:rPr>
        <w:t>、</w:t>
      </w:r>
      <w:r>
        <w:t>挖深垫浅</w:t>
      </w:r>
      <w:r>
        <w:rPr>
          <w:rFonts w:hint="eastAsia"/>
        </w:rPr>
        <w:t>、</w:t>
      </w:r>
      <w:r>
        <w:t>完善灌排设施等逐步改良土壤不良构型</w:t>
      </w:r>
      <w:r>
        <w:rPr>
          <w:rFonts w:hint="eastAsia"/>
        </w:rPr>
        <w:t>、</w:t>
      </w:r>
      <w:r>
        <w:t>增加耕作层厚度</w:t>
      </w:r>
      <w:r>
        <w:rPr>
          <w:rFonts w:hint="eastAsia"/>
        </w:rPr>
        <w:t>，</w:t>
      </w:r>
      <w:r>
        <w:t>保证作物良好生长环境</w:t>
      </w:r>
      <w:r>
        <w:rPr>
          <w:rFonts w:hint="eastAsia"/>
        </w:rPr>
        <w:t>。</w:t>
      </w:r>
      <w:r>
        <w:t>全面推广测土配方施肥</w:t>
      </w:r>
      <w:r>
        <w:rPr>
          <w:rFonts w:hint="eastAsia"/>
        </w:rPr>
        <w:t>，</w:t>
      </w:r>
      <w:r>
        <w:t>促进土壤养分平衡</w:t>
      </w:r>
      <w:r>
        <w:rPr>
          <w:rFonts w:hint="eastAsia"/>
        </w:rPr>
        <w:t>。</w:t>
      </w:r>
      <w:r>
        <w:t>开展建设占用耕地耕作层剥离再利用工作</w:t>
      </w:r>
      <w:r>
        <w:rPr>
          <w:rFonts w:hint="eastAsia"/>
        </w:rPr>
        <w:t>，</w:t>
      </w:r>
      <w:r>
        <w:t>用于新开发耕地</w:t>
      </w:r>
      <w:r>
        <w:rPr>
          <w:rFonts w:hint="eastAsia"/>
        </w:rPr>
        <w:t>、</w:t>
      </w:r>
      <w:r>
        <w:t>中低产田</w:t>
      </w:r>
      <w:r>
        <w:rPr>
          <w:rFonts w:hint="eastAsia"/>
        </w:rPr>
        <w:t>、</w:t>
      </w:r>
      <w:r>
        <w:t>受污染耕地的耕作层再造或土壤改良</w:t>
      </w:r>
      <w:r>
        <w:rPr>
          <w:rFonts w:hint="eastAsia"/>
        </w:rPr>
        <w:t>。</w:t>
      </w:r>
      <w:r>
        <w:t>推广保护性耕作</w:t>
      </w:r>
      <w:r>
        <w:rPr>
          <w:rFonts w:hint="eastAsia"/>
        </w:rPr>
        <w:t>、</w:t>
      </w:r>
      <w:r>
        <w:t>土壤轮耕等技术</w:t>
      </w:r>
      <w:r>
        <w:rPr>
          <w:rFonts w:hint="eastAsia"/>
        </w:rPr>
        <w:t>，</w:t>
      </w:r>
      <w:r>
        <w:t>治理酸化土壤和重金属污染土壤</w:t>
      </w:r>
      <w:r>
        <w:rPr>
          <w:rFonts w:hint="eastAsia"/>
        </w:rPr>
        <w:t>，</w:t>
      </w:r>
      <w:r>
        <w:t>改善耕作层土壤理化性状</w:t>
      </w:r>
      <w:r>
        <w:rPr>
          <w:rFonts w:hint="eastAsia"/>
        </w:rPr>
        <w:t>。</w:t>
      </w:r>
    </w:p>
    <w:p>
      <w:pPr>
        <w:ind w:firstLine="0" w:firstLineChars="0"/>
        <w:jc w:val="center"/>
        <w:rPr>
          <w:b/>
          <w:bCs/>
        </w:rPr>
      </w:pPr>
      <w:bookmarkStart w:id="138" w:name="_Toc24340"/>
      <w:r>
        <w:rPr>
          <w:rFonts w:hint="eastAsia"/>
          <w:b/>
          <w:bCs/>
        </w:rPr>
        <w:t>表3-2 土壤改良示范</w:t>
      </w:r>
      <w:bookmarkEnd w:id="138"/>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000" w:type="pct"/>
            <w:noWrap/>
            <w:tcMar>
              <w:top w:w="15" w:type="dxa"/>
              <w:left w:w="15" w:type="dxa"/>
              <w:right w:w="15" w:type="dxa"/>
            </w:tcMar>
            <w:vAlign w:val="center"/>
          </w:tcPr>
          <w:p>
            <w:pPr>
              <w:ind w:firstLine="634"/>
              <w:rPr>
                <w:kern w:val="0"/>
              </w:rPr>
            </w:pPr>
            <w:r>
              <w:rPr>
                <w:b/>
                <w:bCs/>
                <w:kern w:val="0"/>
              </w:rPr>
              <w:t>1、土壤地力提升</w:t>
            </w:r>
            <w:r>
              <w:rPr>
                <w:rFonts w:hint="eastAsia"/>
                <w:b/>
                <w:bCs/>
                <w:kern w:val="0"/>
              </w:rPr>
              <w:t>：</w:t>
            </w:r>
            <w:r>
              <w:rPr>
                <w:kern w:val="0"/>
              </w:rPr>
              <w:t>化肥施用量逐年减量。每年建设达到规定数量的耕地质量监测网络，推广有机肥、测土配方施肥、绿肥种植及</w:t>
            </w:r>
            <w:r>
              <w:rPr>
                <w:rFonts w:hint="eastAsia"/>
                <w:kern w:val="0"/>
                <w:lang w:eastAsia="zh-CN"/>
              </w:rPr>
              <w:t>秸秆</w:t>
            </w:r>
            <w:r>
              <w:rPr>
                <w:kern w:val="0"/>
              </w:rPr>
              <w:t>还田等措施。</w:t>
            </w:r>
          </w:p>
          <w:p>
            <w:pPr>
              <w:ind w:firstLine="634"/>
              <w:rPr>
                <w:kern w:val="0"/>
              </w:rPr>
            </w:pPr>
            <w:r>
              <w:rPr>
                <w:b/>
                <w:bCs/>
                <w:kern w:val="0"/>
              </w:rPr>
              <w:t>2、土壤酸化治理</w:t>
            </w:r>
            <w:r>
              <w:rPr>
                <w:rFonts w:hint="eastAsia"/>
                <w:b/>
                <w:bCs/>
                <w:kern w:val="0"/>
              </w:rPr>
              <w:t>：</w:t>
            </w:r>
            <w:r>
              <w:rPr>
                <w:kern w:val="0"/>
              </w:rPr>
              <w:t>选取pH5.5以下酸性土壤农田，建设酸化土壤治理示范田。依据《石灰质改良酸性土壤技术规范》，合理施用农用石灰质物质等酸性土壤调理剂，快速提升土壤pH。实施</w:t>
            </w:r>
            <w:bookmarkStart w:id="233" w:name="_GoBack"/>
            <w:bookmarkEnd w:id="233"/>
            <w:r>
              <w:rPr>
                <w:rFonts w:hint="eastAsia"/>
                <w:kern w:val="0"/>
                <w:lang w:eastAsia="zh-CN"/>
              </w:rPr>
              <w:t>秸秆</w:t>
            </w:r>
            <w:r>
              <w:rPr>
                <w:kern w:val="0"/>
              </w:rPr>
              <w:t>粉碎还田或覆盖还田，种植绿肥还田，施用有机肥，配合改良培肥土壤。</w:t>
            </w:r>
          </w:p>
          <w:p>
            <w:pPr>
              <w:ind w:firstLine="634"/>
              <w:rPr>
                <w:rFonts w:ascii="仿宋" w:hAnsi="仿宋" w:cs="仿宋"/>
                <w:kern w:val="0"/>
              </w:rPr>
            </w:pPr>
            <w:r>
              <w:rPr>
                <w:b/>
                <w:bCs/>
                <w:kern w:val="0"/>
              </w:rPr>
              <w:t>3、受污染耕地安全利用</w:t>
            </w:r>
            <w:r>
              <w:rPr>
                <w:rFonts w:hint="eastAsia"/>
                <w:b/>
                <w:bCs/>
                <w:kern w:val="0"/>
              </w:rPr>
              <w:t>：</w:t>
            </w:r>
            <w:r>
              <w:rPr>
                <w:kern w:val="0"/>
              </w:rPr>
              <w:t>对全</w:t>
            </w:r>
            <w:r>
              <w:rPr>
                <w:rFonts w:hint="eastAsia"/>
                <w:kern w:val="0"/>
              </w:rPr>
              <w:t>区</w:t>
            </w:r>
            <w:r>
              <w:rPr>
                <w:kern w:val="0"/>
              </w:rPr>
              <w:t>主要农产品产地国控监测点和</w:t>
            </w:r>
            <w:r>
              <w:rPr>
                <w:rFonts w:hint="eastAsia"/>
                <w:kern w:val="0"/>
              </w:rPr>
              <w:t>省</w:t>
            </w:r>
            <w:r>
              <w:rPr>
                <w:kern w:val="0"/>
              </w:rPr>
              <w:t>控监测点实施例行监测，对土壤和农产品中重金属状况进行分析评价，实时监测产地土壤和农产品重金属状况，根据耕地土壤污染状况采取分类管控措施。</w:t>
            </w:r>
          </w:p>
        </w:tc>
      </w:tr>
    </w:tbl>
    <w:p>
      <w:pPr>
        <w:ind w:left="632" w:leftChars="200" w:firstLine="0" w:firstLineChars="0"/>
        <w:rPr>
          <w:b/>
          <w:bCs/>
        </w:rPr>
      </w:pPr>
    </w:p>
    <w:p>
      <w:pPr>
        <w:ind w:left="632" w:leftChars="200" w:firstLine="0" w:firstLineChars="0"/>
        <w:rPr>
          <w:b/>
          <w:bCs/>
        </w:rPr>
      </w:pPr>
      <w:r>
        <w:rPr>
          <w:rFonts w:hint="eastAsia"/>
          <w:b/>
          <w:bCs/>
        </w:rPr>
        <w:t>三、</w:t>
      </w:r>
      <w:r>
        <w:rPr>
          <w:b/>
          <w:bCs/>
        </w:rPr>
        <w:t>建设灌溉与排水设施。</w:t>
      </w:r>
    </w:p>
    <w:p>
      <w:pPr>
        <w:ind w:firstLine="632"/>
      </w:pPr>
      <w:r>
        <w:t>按照大中小微并举</w:t>
      </w:r>
      <w:r>
        <w:rPr>
          <w:rFonts w:hint="eastAsia"/>
        </w:rPr>
        <w:t>、</w:t>
      </w:r>
      <w:r>
        <w:t>蓄引提调结合的原则</w:t>
      </w:r>
      <w:r>
        <w:rPr>
          <w:rFonts w:hint="eastAsia"/>
        </w:rPr>
        <w:t>，</w:t>
      </w:r>
      <w:r>
        <w:t>加强农田水源工程建设</w:t>
      </w:r>
      <w:r>
        <w:rPr>
          <w:rFonts w:hint="eastAsia"/>
        </w:rPr>
        <w:t>。</w:t>
      </w:r>
      <w:r>
        <w:t>水源利用应以地表水为主</w:t>
      </w:r>
      <w:r>
        <w:rPr>
          <w:rFonts w:hint="eastAsia"/>
        </w:rPr>
        <w:t>，</w:t>
      </w:r>
      <w:r>
        <w:t>地下水为辅</w:t>
      </w:r>
      <w:r>
        <w:rPr>
          <w:rFonts w:hint="eastAsia"/>
        </w:rPr>
        <w:t>，</w:t>
      </w:r>
      <w:r>
        <w:t>严格控制开采深层地下水</w:t>
      </w:r>
      <w:r>
        <w:rPr>
          <w:rFonts w:hint="eastAsia"/>
        </w:rPr>
        <w:t>，</w:t>
      </w:r>
      <w:r>
        <w:t>优先就近接入经处理的农村生活污水处理设施尾水</w:t>
      </w:r>
      <w:r>
        <w:rPr>
          <w:rFonts w:hint="eastAsia"/>
        </w:rPr>
        <w:t>，</w:t>
      </w:r>
      <w:r>
        <w:t>禁止使用未经处理的污水进行灌溉</w:t>
      </w:r>
      <w:r>
        <w:rPr>
          <w:rFonts w:hint="eastAsia"/>
        </w:rPr>
        <w:t>。</w:t>
      </w:r>
      <w:r>
        <w:t>按照灌溉与排水并重</w:t>
      </w:r>
      <w:r>
        <w:rPr>
          <w:rFonts w:hint="eastAsia"/>
        </w:rPr>
        <w:t>、</w:t>
      </w:r>
      <w:r>
        <w:t>骨干工程与田间工程并进的要求</w:t>
      </w:r>
      <w:r>
        <w:rPr>
          <w:rFonts w:hint="eastAsia"/>
        </w:rPr>
        <w:t>，</w:t>
      </w:r>
      <w:r>
        <w:t>开展灌溉排水设施建设</w:t>
      </w:r>
      <w:r>
        <w:rPr>
          <w:rFonts w:hint="eastAsia"/>
        </w:rPr>
        <w:t>，</w:t>
      </w:r>
      <w:r>
        <w:t>配套改造和建设输配水渠</w:t>
      </w:r>
      <w:r>
        <w:rPr>
          <w:rFonts w:hint="eastAsia"/>
        </w:rPr>
        <w:t>（</w:t>
      </w:r>
      <w:r>
        <w:t>管</w:t>
      </w:r>
      <w:r>
        <w:rPr>
          <w:rFonts w:hint="eastAsia"/>
        </w:rPr>
        <w:t>）</w:t>
      </w:r>
      <w:r>
        <w:t>道和排水沟</w:t>
      </w:r>
      <w:r>
        <w:rPr>
          <w:rFonts w:hint="eastAsia"/>
        </w:rPr>
        <w:t>（</w:t>
      </w:r>
      <w:r>
        <w:t>管</w:t>
      </w:r>
      <w:r>
        <w:rPr>
          <w:rFonts w:hint="eastAsia"/>
        </w:rPr>
        <w:t>）</w:t>
      </w:r>
      <w:bookmarkStart w:id="139" w:name="_bookmark7"/>
      <w:bookmarkEnd w:id="139"/>
      <w:r>
        <w:t>道</w:t>
      </w:r>
      <w:r>
        <w:rPr>
          <w:rFonts w:hint="eastAsia"/>
        </w:rPr>
        <w:t>、</w:t>
      </w:r>
      <w:r>
        <w:t>泵站及渠系建筑物</w:t>
      </w:r>
      <w:r>
        <w:rPr>
          <w:rFonts w:hint="eastAsia"/>
        </w:rPr>
        <w:t>。</w:t>
      </w:r>
      <w:r>
        <w:t>同时</w:t>
      </w:r>
      <w:r>
        <w:rPr>
          <w:rFonts w:hint="eastAsia"/>
        </w:rPr>
        <w:t>，</w:t>
      </w:r>
      <w:r>
        <w:t>因地制宜推广管灌</w:t>
      </w:r>
      <w:r>
        <w:rPr>
          <w:rFonts w:hint="eastAsia"/>
        </w:rPr>
        <w:t>、</w:t>
      </w:r>
      <w:r>
        <w:t>喷灌</w:t>
      </w:r>
      <w:r>
        <w:rPr>
          <w:rFonts w:hint="eastAsia"/>
        </w:rPr>
        <w:t>、</w:t>
      </w:r>
      <w:r>
        <w:t>微灌</w:t>
      </w:r>
      <w:r>
        <w:rPr>
          <w:rFonts w:hint="eastAsia"/>
        </w:rPr>
        <w:t>、</w:t>
      </w:r>
      <w:r>
        <w:t>水肥一体化等高效节水灌溉技术</w:t>
      </w:r>
      <w:r>
        <w:rPr>
          <w:rFonts w:hint="eastAsia"/>
        </w:rPr>
        <w:t>，</w:t>
      </w:r>
      <w:r>
        <w:t>提高农田灌溉保证率</w:t>
      </w:r>
      <w:r>
        <w:rPr>
          <w:rFonts w:hint="eastAsia"/>
        </w:rPr>
        <w:t>、</w:t>
      </w:r>
      <w:r>
        <w:t>排涝标准和灌溉水利用系数。</w:t>
      </w:r>
      <w:r>
        <w:rPr>
          <w:rFonts w:hint="eastAsia"/>
        </w:rPr>
        <w:t>根据水利部门相关文件，增设节水设施配套。</w:t>
      </w:r>
    </w:p>
    <w:p>
      <w:pPr>
        <w:ind w:firstLine="0" w:firstLineChars="0"/>
        <w:jc w:val="center"/>
        <w:rPr>
          <w:b/>
          <w:bCs/>
        </w:rPr>
      </w:pPr>
      <w:bookmarkStart w:id="140" w:name="_Toc10168"/>
      <w:r>
        <w:rPr>
          <w:rFonts w:hint="eastAsia"/>
          <w:b/>
          <w:bCs/>
        </w:rPr>
        <w:t>表3-3 高效节水灌溉示范区</w:t>
      </w:r>
      <w:bookmarkEnd w:id="140"/>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000" w:type="pct"/>
            <w:noWrap/>
            <w:tcMar>
              <w:top w:w="15" w:type="dxa"/>
              <w:left w:w="15" w:type="dxa"/>
              <w:right w:w="15" w:type="dxa"/>
            </w:tcMar>
            <w:vAlign w:val="center"/>
          </w:tcPr>
          <w:p>
            <w:pPr>
              <w:ind w:firstLine="632"/>
              <w:rPr>
                <w:rFonts w:ascii="仿宋" w:hAnsi="仿宋" w:cs="仿宋"/>
                <w:kern w:val="0"/>
              </w:rPr>
            </w:pPr>
            <w:r>
              <w:rPr>
                <w:kern w:val="0"/>
              </w:rPr>
              <w:t>为提高农业灌溉用水效率，重点在水资源紧缺地区，建设一批高效节水灌溉示范区，带动高标准农田建设任务与高效节水灌溉同步实施，发展管灌、喷灌和微灌工程，支持水肥一体化设施，鼓励堰坝、蓄水池等小型水源工程及排水沟改造。</w:t>
            </w:r>
          </w:p>
        </w:tc>
      </w:tr>
    </w:tbl>
    <w:p>
      <w:pPr>
        <w:ind w:firstLine="0" w:firstLineChars="0"/>
        <w:jc w:val="center"/>
        <w:rPr>
          <w:b/>
          <w:bCs/>
        </w:rPr>
      </w:pPr>
      <w:bookmarkStart w:id="141" w:name="_Toc3702"/>
      <w:r>
        <w:rPr>
          <w:rFonts w:hint="eastAsia"/>
          <w:b/>
          <w:bCs/>
        </w:rPr>
        <w:t>表3-4 生态沟渠示范工程</w:t>
      </w:r>
      <w:bookmarkEnd w:id="141"/>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000" w:type="pct"/>
            <w:noWrap/>
            <w:tcMar>
              <w:top w:w="15" w:type="dxa"/>
              <w:left w:w="15" w:type="dxa"/>
              <w:right w:w="15" w:type="dxa"/>
            </w:tcMar>
            <w:vAlign w:val="center"/>
          </w:tcPr>
          <w:p>
            <w:pPr>
              <w:ind w:firstLine="632"/>
              <w:rPr>
                <w:rFonts w:ascii="仿宋" w:hAnsi="仿宋" w:cs="仿宋"/>
                <w:kern w:val="0"/>
              </w:rPr>
            </w:pPr>
            <w:r>
              <w:rPr>
                <w:kern w:val="0"/>
              </w:rPr>
              <w:t>在不破坏农田生态景观、保持沟渠形态的多样性的原则下进行设计，推广生态沟渠示范工程，使水体自净能力增强，规划农田渍水净化系统可避免水质富营养化，降解农药和其他有毒物质残留，有效保护河道水质和淡水资源，有效保护生物多样性，同时还减少了混凝土的使用量，降低了碳排放和能源的消耗。</w:t>
            </w:r>
          </w:p>
        </w:tc>
      </w:tr>
    </w:tbl>
    <w:p>
      <w:pPr>
        <w:ind w:left="632" w:leftChars="200" w:firstLine="0" w:firstLineChars="0"/>
        <w:rPr>
          <w:b/>
          <w:bCs/>
        </w:rPr>
      </w:pPr>
    </w:p>
    <w:p>
      <w:pPr>
        <w:ind w:left="632" w:leftChars="200" w:firstLine="0" w:firstLineChars="0"/>
        <w:rPr>
          <w:b/>
          <w:bCs/>
        </w:rPr>
      </w:pPr>
      <w:r>
        <w:rPr>
          <w:rFonts w:hint="eastAsia"/>
          <w:b/>
          <w:bCs/>
        </w:rPr>
        <w:t>四、</w:t>
      </w:r>
      <w:r>
        <w:rPr>
          <w:b/>
          <w:bCs/>
        </w:rPr>
        <w:t>修建田间道路。</w:t>
      </w:r>
    </w:p>
    <w:p>
      <w:pPr>
        <w:ind w:firstLine="632"/>
      </w:pPr>
      <w:r>
        <w:t>按照</w:t>
      </w:r>
      <w:r>
        <w:rPr>
          <w:rFonts w:hint="eastAsia"/>
        </w:rPr>
        <w:t>“</w:t>
      </w:r>
      <w:r>
        <w:t>有利生产</w:t>
      </w:r>
      <w:r>
        <w:rPr>
          <w:rFonts w:hint="eastAsia"/>
        </w:rPr>
        <w:t>、</w:t>
      </w:r>
      <w:r>
        <w:t>方便生产</w:t>
      </w:r>
      <w:r>
        <w:rPr>
          <w:rFonts w:hint="eastAsia"/>
        </w:rPr>
        <w:t>、</w:t>
      </w:r>
      <w:r>
        <w:t>兼顾生活</w:t>
      </w:r>
      <w:r>
        <w:rPr>
          <w:rFonts w:hint="eastAsia"/>
        </w:rPr>
        <w:t>”</w:t>
      </w:r>
      <w:r>
        <w:t>的原则</w:t>
      </w:r>
      <w:r>
        <w:rPr>
          <w:rFonts w:hint="eastAsia"/>
        </w:rPr>
        <w:t>，</w:t>
      </w:r>
      <w:r>
        <w:t>优化田间道</w:t>
      </w:r>
      <w:r>
        <w:rPr>
          <w:rFonts w:hint="eastAsia"/>
        </w:rPr>
        <w:t>（</w:t>
      </w:r>
      <w:r>
        <w:t>机耕路</w:t>
      </w:r>
      <w:r>
        <w:rPr>
          <w:rFonts w:hint="eastAsia"/>
        </w:rPr>
        <w:t>）、</w:t>
      </w:r>
      <w:r>
        <w:t>生产路布局</w:t>
      </w:r>
      <w:r>
        <w:rPr>
          <w:rFonts w:hint="eastAsia"/>
        </w:rPr>
        <w:t>，</w:t>
      </w:r>
      <w:r>
        <w:t>合理确定路网密度</w:t>
      </w:r>
      <w:r>
        <w:rPr>
          <w:rFonts w:hint="eastAsia"/>
        </w:rPr>
        <w:t>，</w:t>
      </w:r>
      <w:r>
        <w:t>整修和新建田间道</w:t>
      </w:r>
      <w:r>
        <w:rPr>
          <w:rFonts w:hint="eastAsia"/>
        </w:rPr>
        <w:t>（</w:t>
      </w:r>
      <w:r>
        <w:t>机耕路</w:t>
      </w:r>
      <w:r>
        <w:rPr>
          <w:rFonts w:hint="eastAsia"/>
        </w:rPr>
        <w:t>）、</w:t>
      </w:r>
      <w:r>
        <w:t>生产路</w:t>
      </w:r>
      <w:r>
        <w:rPr>
          <w:rFonts w:hint="eastAsia"/>
        </w:rPr>
        <w:t>，</w:t>
      </w:r>
      <w:r>
        <w:t>配套建设农机下田</w:t>
      </w:r>
      <w:r>
        <w:rPr>
          <w:rFonts w:hint="eastAsia"/>
        </w:rPr>
        <w:t>（</w:t>
      </w:r>
      <w:r>
        <w:t>地</w:t>
      </w:r>
      <w:r>
        <w:rPr>
          <w:rFonts w:hint="eastAsia"/>
        </w:rPr>
        <w:t>）</w:t>
      </w:r>
      <w:r>
        <w:t>坡道</w:t>
      </w:r>
      <w:r>
        <w:rPr>
          <w:rFonts w:hint="eastAsia"/>
        </w:rPr>
        <w:t>、</w:t>
      </w:r>
      <w:r>
        <w:t>桥涵</w:t>
      </w:r>
      <w:r>
        <w:rPr>
          <w:rFonts w:hint="eastAsia"/>
        </w:rPr>
        <w:t>、</w:t>
      </w:r>
      <w:r>
        <w:t>错车道和回车场等附属设施</w:t>
      </w:r>
      <w:r>
        <w:rPr>
          <w:rFonts w:hint="eastAsia"/>
        </w:rPr>
        <w:t>，</w:t>
      </w:r>
      <w:r>
        <w:t>提高农机作业便捷度</w:t>
      </w:r>
      <w:r>
        <w:rPr>
          <w:rFonts w:hint="eastAsia"/>
        </w:rPr>
        <w:t>。</w:t>
      </w:r>
      <w:r>
        <w:t>田间道路建成后要能满足农机作业</w:t>
      </w:r>
      <w:r>
        <w:rPr>
          <w:rFonts w:hint="eastAsia"/>
        </w:rPr>
        <w:t>、</w:t>
      </w:r>
      <w:r>
        <w:t>农业物资运输等农业生产活动的要求。</w:t>
      </w:r>
      <w:r>
        <w:rPr>
          <w:rFonts w:hint="eastAsia"/>
        </w:rPr>
        <w:t>田间道为水泥路、泥结石路或砂碎石路及其他生态环保材料结构，生产路为砂土路、碎石路、泥结石路及其他生态环保材料结构。</w:t>
      </w:r>
    </w:p>
    <w:p>
      <w:pPr>
        <w:ind w:firstLine="632"/>
      </w:pPr>
      <w:r>
        <w:rPr>
          <w:rFonts w:hint="eastAsia"/>
        </w:rPr>
        <w:t>我区</w:t>
      </w:r>
      <w:r>
        <w:t>提倡生态田间道路工程，采用泥结石路面，与传统整治项目混凝土路面和砂砾石路面相比，泥结石路面采用灌浆碾压处理有利于碎石的相互嵌挤作用，也有利于粘土的粘结作用，使碎石缝隙内泥浆能与路面上所撒石屑粘成一个坚实的整体，除方便生产外，还为生活在不同区域环境的动物和微生物提供栖息和通行的廊道。</w:t>
      </w:r>
    </w:p>
    <w:p>
      <w:pPr>
        <w:ind w:firstLine="0" w:firstLineChars="0"/>
        <w:jc w:val="center"/>
        <w:rPr>
          <w:b/>
          <w:bCs/>
        </w:rPr>
      </w:pPr>
      <w:bookmarkStart w:id="142" w:name="_Toc27820"/>
      <w:r>
        <w:rPr>
          <w:rFonts w:hint="eastAsia"/>
          <w:b/>
          <w:bCs/>
        </w:rPr>
        <w:t>表3-5 生态田间道路示范工程</w:t>
      </w:r>
      <w:bookmarkEnd w:id="142"/>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000" w:type="pct"/>
            <w:noWrap/>
            <w:tcMar>
              <w:top w:w="15" w:type="dxa"/>
              <w:left w:w="15" w:type="dxa"/>
              <w:right w:w="15" w:type="dxa"/>
            </w:tcMar>
            <w:vAlign w:val="center"/>
          </w:tcPr>
          <w:p>
            <w:pPr>
              <w:ind w:firstLine="632"/>
              <w:rPr>
                <w:kern w:val="0"/>
              </w:rPr>
            </w:pPr>
            <w:r>
              <w:rPr>
                <w:rFonts w:hint="eastAsia"/>
                <w:kern w:val="0"/>
              </w:rPr>
              <w:t>在偏远山区可推广采用生态田间道路，就地取材，可解决砂、石、水泥运输成本高、节约能源等问题，降低工程造价，施工方便，尤其是有利于生态环境保护。</w:t>
            </w:r>
          </w:p>
        </w:tc>
      </w:tr>
    </w:tbl>
    <w:p>
      <w:pPr>
        <w:ind w:left="632" w:leftChars="200" w:firstLine="0" w:firstLineChars="0"/>
        <w:rPr>
          <w:b/>
          <w:bCs/>
        </w:rPr>
      </w:pPr>
    </w:p>
    <w:p>
      <w:pPr>
        <w:numPr>
          <w:ilvl w:val="0"/>
          <w:numId w:val="3"/>
        </w:numPr>
        <w:ind w:firstLine="634"/>
        <w:rPr>
          <w:b/>
          <w:bCs/>
        </w:rPr>
      </w:pPr>
      <w:r>
        <w:rPr>
          <w:b/>
          <w:bCs/>
        </w:rPr>
        <w:t>完善农田防护与生态环境保护体系。</w:t>
      </w:r>
    </w:p>
    <w:p>
      <w:pPr>
        <w:ind w:firstLine="632"/>
      </w:pPr>
      <w:r>
        <w:t>推广生态型治理措施建设高标准农田</w:t>
      </w:r>
      <w:r>
        <w:rPr>
          <w:rFonts w:hint="eastAsia"/>
        </w:rPr>
        <w:t>，</w:t>
      </w:r>
      <w:r>
        <w:t>加强人工湿地</w:t>
      </w:r>
      <w:r>
        <w:rPr>
          <w:rFonts w:hint="eastAsia"/>
        </w:rPr>
        <w:t>、</w:t>
      </w:r>
      <w:r>
        <w:t>注重生态沟渠及地表径流集蓄与利用设施建设</w:t>
      </w:r>
      <w:r>
        <w:rPr>
          <w:rFonts w:hint="eastAsia"/>
        </w:rPr>
        <w:t>，</w:t>
      </w:r>
      <w:r>
        <w:t>减少农田退水中氮</w:t>
      </w:r>
      <w:r>
        <w:rPr>
          <w:rFonts w:hint="eastAsia"/>
        </w:rPr>
        <w:t>、</w:t>
      </w:r>
      <w:r>
        <w:t>磷等污染物的含量</w:t>
      </w:r>
      <w:r>
        <w:rPr>
          <w:rFonts w:hint="eastAsia"/>
        </w:rPr>
        <w:t>，</w:t>
      </w:r>
      <w:r>
        <w:t>以生态脆弱农田保护为重点</w:t>
      </w:r>
      <w:r>
        <w:rPr>
          <w:rFonts w:hint="eastAsia"/>
        </w:rPr>
        <w:t>，</w:t>
      </w:r>
      <w:r>
        <w:t>加强农田防护与生态环境保护工程建设</w:t>
      </w:r>
      <w:r>
        <w:rPr>
          <w:rFonts w:hint="eastAsia"/>
        </w:rPr>
        <w:t>。</w:t>
      </w:r>
      <w:r>
        <w:t>根据防护需要</w:t>
      </w:r>
      <w:r>
        <w:rPr>
          <w:rFonts w:hint="eastAsia"/>
        </w:rPr>
        <w:t>，</w:t>
      </w:r>
      <w:r>
        <w:t>新建</w:t>
      </w:r>
      <w:r>
        <w:rPr>
          <w:rFonts w:hint="eastAsia"/>
        </w:rPr>
        <w:t>、</w:t>
      </w:r>
      <w:r>
        <w:t>修复农田防护林网</w:t>
      </w:r>
      <w:r>
        <w:rPr>
          <w:rFonts w:hint="eastAsia"/>
        </w:rPr>
        <w:t>、</w:t>
      </w:r>
      <w:r>
        <w:t>生态护坡</w:t>
      </w:r>
      <w:r>
        <w:rPr>
          <w:rFonts w:hint="eastAsia"/>
        </w:rPr>
        <w:t>，</w:t>
      </w:r>
      <w:r>
        <w:t>主要道路</w:t>
      </w:r>
      <w:r>
        <w:rPr>
          <w:rFonts w:hint="eastAsia"/>
        </w:rPr>
        <w:t>、</w:t>
      </w:r>
      <w:r>
        <w:t>沟</w:t>
      </w:r>
      <w:r>
        <w:rPr>
          <w:rFonts w:hint="eastAsia"/>
        </w:rPr>
        <w:t>、</w:t>
      </w:r>
      <w:r>
        <w:t>渠两侧应适时</w:t>
      </w:r>
      <w:r>
        <w:rPr>
          <w:rFonts w:hint="eastAsia"/>
        </w:rPr>
        <w:t>、</w:t>
      </w:r>
      <w:r>
        <w:t>适地</w:t>
      </w:r>
      <w:r>
        <w:rPr>
          <w:rFonts w:hint="eastAsia"/>
        </w:rPr>
        <w:t>、</w:t>
      </w:r>
      <w:r>
        <w:t>适树设置农田防护林带</w:t>
      </w:r>
      <w:r>
        <w:rPr>
          <w:rFonts w:hint="eastAsia"/>
        </w:rPr>
        <w:t>，</w:t>
      </w:r>
      <w:r>
        <w:t>生态缓冲带及生态沟渠</w:t>
      </w:r>
      <w:r>
        <w:rPr>
          <w:rFonts w:hint="eastAsia"/>
        </w:rPr>
        <w:t>，</w:t>
      </w:r>
      <w:r>
        <w:t>提高农田林网建设和农田退水污染治理水平</w:t>
      </w:r>
      <w:r>
        <w:rPr>
          <w:rFonts w:hint="eastAsia"/>
        </w:rPr>
        <w:t>。</w:t>
      </w:r>
      <w:r>
        <w:t>在水土流失易发地区</w:t>
      </w:r>
      <w:r>
        <w:rPr>
          <w:rFonts w:hint="eastAsia"/>
        </w:rPr>
        <w:t>，</w:t>
      </w:r>
      <w:r>
        <w:t>采取生态治理的手段</w:t>
      </w:r>
      <w:r>
        <w:rPr>
          <w:rFonts w:hint="eastAsia"/>
        </w:rPr>
        <w:t>，</w:t>
      </w:r>
      <w:r>
        <w:t>科学合理修筑岸坡防护</w:t>
      </w:r>
      <w:r>
        <w:rPr>
          <w:rFonts w:hint="eastAsia"/>
        </w:rPr>
        <w:t>、</w:t>
      </w:r>
      <w:r>
        <w:t>沟道治理</w:t>
      </w:r>
      <w:r>
        <w:rPr>
          <w:rFonts w:hint="eastAsia"/>
        </w:rPr>
        <w:t>、</w:t>
      </w:r>
      <w:r>
        <w:t>坡面防护等设施。</w:t>
      </w:r>
    </w:p>
    <w:p>
      <w:pPr>
        <w:ind w:firstLine="632"/>
      </w:pPr>
      <w:r>
        <w:t>1、生态护坡工程一</w:t>
      </w:r>
      <w:r>
        <w:rPr>
          <w:rFonts w:hint="eastAsia"/>
        </w:rPr>
        <w:t>：</w:t>
      </w:r>
      <w:r>
        <w:t>为提升农田生态功能，卡扣式生态砖衬砌采取</w:t>
      </w:r>
      <w:r>
        <w:rPr>
          <w:rFonts w:hint="eastAsia"/>
        </w:rPr>
        <w:t>“</w:t>
      </w:r>
      <w:r>
        <w:t>因地制宜、分段治理、和谐修景</w:t>
      </w:r>
      <w:r>
        <w:rPr>
          <w:rFonts w:hint="eastAsia"/>
        </w:rPr>
        <w:t>”</w:t>
      </w:r>
      <w:r>
        <w:t>的原则进行生态护砌整治，不但更有利于水草等水生植物的生长，也大大地减少了混凝土的使用，降低了碳的排放和能源的消耗。因地制宜推行土壤改良、生态沟渠和田间道路等工程措施，通过开展农田生态保护修复、集成推广绿色高质高效技术，提升农田生态保护能力和耕地自然景观水平，增加绿色优质农产品有效供给，打造集耕地质量保护提升、生态涵养、面源污染防治和田园生态景观改善为一体的高标准绿色农田。</w:t>
      </w:r>
    </w:p>
    <w:p>
      <w:pPr>
        <w:ind w:firstLine="632"/>
      </w:pPr>
      <w:r>
        <w:t>2、生态护坡工程二</w:t>
      </w:r>
      <w:r>
        <w:rPr>
          <w:rFonts w:hint="eastAsia"/>
        </w:rPr>
        <w:t>：</w:t>
      </w:r>
      <w:r>
        <w:t>护坡格宾石笼主要用在河床、河道治理、岸坡、路基边坡防护、堤坡防护等地方。通过护坡格宾石笼可以有效控制和引导河流及洪水，减少洪水对堤坝的冲刷，保护河床和河岸，避免洪水泛滥，减少水土流失。因具有经济、施工便捷、可就地取材，填放块石、碎石及天然级配卵石等，迅速构成挡土或挡水结构体。</w:t>
      </w:r>
    </w:p>
    <w:p>
      <w:pPr>
        <w:ind w:firstLine="634"/>
        <w:rPr>
          <w:b/>
          <w:bCs/>
        </w:rPr>
      </w:pPr>
      <w:r>
        <w:rPr>
          <w:b/>
          <w:bCs/>
        </w:rPr>
        <w:t>六</w:t>
      </w:r>
      <w:r>
        <w:rPr>
          <w:rFonts w:hint="eastAsia"/>
          <w:b/>
          <w:bCs/>
        </w:rPr>
        <w:t>、</w:t>
      </w:r>
      <w:r>
        <w:rPr>
          <w:b/>
          <w:bCs/>
        </w:rPr>
        <w:t>配套农田输配电设施。</w:t>
      </w:r>
    </w:p>
    <w:p>
      <w:pPr>
        <w:ind w:firstLine="632"/>
      </w:pPr>
      <w:r>
        <w:t>确保输配电设施安全</w:t>
      </w:r>
      <w:r>
        <w:rPr>
          <w:rFonts w:hint="eastAsia"/>
        </w:rPr>
        <w:t>、</w:t>
      </w:r>
      <w:r>
        <w:t>低耗</w:t>
      </w:r>
      <w:r>
        <w:rPr>
          <w:rFonts w:hint="eastAsia"/>
        </w:rPr>
        <w:t>、</w:t>
      </w:r>
      <w:r>
        <w:t>高效运行</w:t>
      </w:r>
      <w:r>
        <w:rPr>
          <w:rFonts w:hint="eastAsia"/>
        </w:rPr>
        <w:t>。</w:t>
      </w:r>
      <w:r>
        <w:t>对适合电力灌排和信息化管理的农田</w:t>
      </w:r>
      <w:r>
        <w:rPr>
          <w:rFonts w:hint="eastAsia"/>
        </w:rPr>
        <w:t>，</w:t>
      </w:r>
      <w:r>
        <w:t>铺设低压输电线路</w:t>
      </w:r>
      <w:r>
        <w:rPr>
          <w:rFonts w:hint="eastAsia"/>
        </w:rPr>
        <w:t>，</w:t>
      </w:r>
      <w:r>
        <w:t>配套建设变配电设施</w:t>
      </w:r>
      <w:r>
        <w:rPr>
          <w:rFonts w:hint="eastAsia"/>
        </w:rPr>
        <w:t>，</w:t>
      </w:r>
      <w:r>
        <w:t>合理布设弱电设施</w:t>
      </w:r>
      <w:r>
        <w:rPr>
          <w:rFonts w:hint="eastAsia"/>
        </w:rPr>
        <w:t>，</w:t>
      </w:r>
      <w:r>
        <w:t>为泵站</w:t>
      </w:r>
      <w:r>
        <w:rPr>
          <w:rFonts w:hint="eastAsia"/>
        </w:rPr>
        <w:t>、</w:t>
      </w:r>
      <w:r>
        <w:t>河道提水</w:t>
      </w:r>
      <w:r>
        <w:rPr>
          <w:rFonts w:hint="eastAsia"/>
        </w:rPr>
        <w:t>、</w:t>
      </w:r>
      <w:r>
        <w:t>农田排涝</w:t>
      </w:r>
      <w:r>
        <w:rPr>
          <w:rFonts w:hint="eastAsia"/>
        </w:rPr>
        <w:t>、</w:t>
      </w:r>
      <w:r>
        <w:t>喷微灌</w:t>
      </w:r>
      <w:r>
        <w:rPr>
          <w:rFonts w:hint="eastAsia"/>
        </w:rPr>
        <w:t>、</w:t>
      </w:r>
      <w:r>
        <w:t>水肥一体化以及信息化工程等提供电力保障</w:t>
      </w:r>
      <w:r>
        <w:rPr>
          <w:rFonts w:hint="eastAsia"/>
        </w:rPr>
        <w:t>，</w:t>
      </w:r>
      <w:r>
        <w:t>降低农业生产成本</w:t>
      </w:r>
      <w:r>
        <w:rPr>
          <w:rFonts w:hint="eastAsia"/>
        </w:rPr>
        <w:t>，</w:t>
      </w:r>
      <w:r>
        <w:t>提高农业生产效率和效益</w:t>
      </w:r>
      <w:r>
        <w:rPr>
          <w:rFonts w:hint="eastAsia"/>
        </w:rPr>
        <w:t>。</w:t>
      </w:r>
      <w:r>
        <w:t>建成后</w:t>
      </w:r>
      <w:r>
        <w:rPr>
          <w:rFonts w:hint="eastAsia"/>
        </w:rPr>
        <w:t>，</w:t>
      </w:r>
      <w:r>
        <w:t>实现农网</w:t>
      </w:r>
      <w:r>
        <w:rPr>
          <w:rFonts w:hint="eastAsia"/>
        </w:rPr>
        <w:t>、</w:t>
      </w:r>
      <w:r>
        <w:t>泵站</w:t>
      </w:r>
      <w:r>
        <w:rPr>
          <w:rFonts w:hint="eastAsia"/>
        </w:rPr>
        <w:t>、</w:t>
      </w:r>
      <w:r>
        <w:t>物联网</w:t>
      </w:r>
      <w:r>
        <w:rPr>
          <w:rFonts w:hint="eastAsia"/>
        </w:rPr>
        <w:t>、</w:t>
      </w:r>
      <w:r>
        <w:t>自动化水肥应用等供电设施完善</w:t>
      </w:r>
      <w:r>
        <w:rPr>
          <w:rFonts w:hint="eastAsia"/>
        </w:rPr>
        <w:t>，</w:t>
      </w:r>
      <w:r>
        <w:t>电力系统安装与运行符合相关标准</w:t>
      </w:r>
      <w:r>
        <w:rPr>
          <w:rFonts w:hint="eastAsia"/>
        </w:rPr>
        <w:t>，</w:t>
      </w:r>
      <w:r>
        <w:t>用电质量和安全水平得到提高</w:t>
      </w:r>
      <w:r>
        <w:rPr>
          <w:rFonts w:hint="eastAsia"/>
        </w:rPr>
        <w:t>。</w:t>
      </w:r>
    </w:p>
    <w:p>
      <w:pPr>
        <w:ind w:left="632" w:leftChars="200" w:firstLine="0" w:firstLineChars="0"/>
        <w:rPr>
          <w:b/>
          <w:bCs/>
        </w:rPr>
      </w:pPr>
      <w:r>
        <w:rPr>
          <w:rFonts w:hint="eastAsia"/>
          <w:b/>
          <w:bCs/>
        </w:rPr>
        <w:t>七、</w:t>
      </w:r>
      <w:r>
        <w:rPr>
          <w:b/>
          <w:bCs/>
        </w:rPr>
        <w:t>加强科技服务。</w:t>
      </w:r>
    </w:p>
    <w:p>
      <w:pPr>
        <w:ind w:firstLine="632"/>
      </w:pPr>
      <w:r>
        <w:t>建立高标准农田耕地质量定位监测点</w:t>
      </w:r>
      <w:r>
        <w:rPr>
          <w:rFonts w:hint="eastAsia"/>
        </w:rPr>
        <w:t>，</w:t>
      </w:r>
      <w:r>
        <w:t>跟踪监测耕地质量变化情况</w:t>
      </w:r>
      <w:r>
        <w:rPr>
          <w:rFonts w:hint="eastAsia"/>
        </w:rPr>
        <w:t>，</w:t>
      </w:r>
      <w:r>
        <w:t>依据《耕地质量等级》</w:t>
      </w:r>
      <w:r>
        <w:rPr>
          <w:rFonts w:hint="eastAsia"/>
        </w:rPr>
        <w:t>（</w:t>
      </w:r>
      <w:r>
        <w:t>GB/T33469</w:t>
      </w:r>
      <w:r>
        <w:rPr>
          <w:rFonts w:hint="eastAsia"/>
        </w:rPr>
        <w:t>）</w:t>
      </w:r>
      <w:r>
        <w:t>国家标准</w:t>
      </w:r>
      <w:r>
        <w:rPr>
          <w:rFonts w:hint="eastAsia"/>
        </w:rPr>
        <w:t>，</w:t>
      </w:r>
      <w:r>
        <w:t>在项目实施前后及时开展耕地质量等级调查评价</w:t>
      </w:r>
      <w:r>
        <w:rPr>
          <w:rFonts w:hint="eastAsia"/>
        </w:rPr>
        <w:t>，</w:t>
      </w:r>
      <w:r>
        <w:t>保护和持续提升耕地质量。推进数字农业</w:t>
      </w:r>
      <w:r>
        <w:rPr>
          <w:rFonts w:hint="eastAsia"/>
        </w:rPr>
        <w:t>、</w:t>
      </w:r>
      <w:r>
        <w:t>良种良法良机</w:t>
      </w:r>
      <w:r>
        <w:rPr>
          <w:rFonts w:hint="eastAsia"/>
        </w:rPr>
        <w:t>、</w:t>
      </w:r>
      <w:r>
        <w:t>科学施肥</w:t>
      </w:r>
      <w:r>
        <w:rPr>
          <w:rFonts w:hint="eastAsia"/>
        </w:rPr>
        <w:t>、</w:t>
      </w:r>
      <w:r>
        <w:t>病虫害综合防治等科技应用</w:t>
      </w:r>
      <w:r>
        <w:rPr>
          <w:rFonts w:hint="eastAsia"/>
        </w:rPr>
        <w:t>，</w:t>
      </w:r>
      <w:r>
        <w:t>科学合理利用高标准农田</w:t>
      </w:r>
      <w:r>
        <w:rPr>
          <w:rFonts w:hint="eastAsia"/>
        </w:rPr>
        <w:t>。</w:t>
      </w:r>
      <w:r>
        <w:t>建成后田间定位监测点布设密度符合要求</w:t>
      </w:r>
      <w:r>
        <w:rPr>
          <w:rFonts w:hint="eastAsia"/>
        </w:rPr>
        <w:t>，</w:t>
      </w:r>
      <w:r>
        <w:t>农田监测网络基本完善</w:t>
      </w:r>
      <w:r>
        <w:rPr>
          <w:rFonts w:hint="eastAsia"/>
        </w:rPr>
        <w:t>，</w:t>
      </w:r>
      <w:r>
        <w:t>科学施肥施药技术基本全覆盖</w:t>
      </w:r>
      <w:r>
        <w:rPr>
          <w:rFonts w:hint="eastAsia"/>
        </w:rPr>
        <w:t>，</w:t>
      </w:r>
      <w:r>
        <w:t>良种覆盖率</w:t>
      </w:r>
      <w:r>
        <w:rPr>
          <w:rFonts w:hint="eastAsia"/>
        </w:rPr>
        <w:t>、</w:t>
      </w:r>
      <w:r>
        <w:t>农作物耕种收综合机械化率明显提高</w:t>
      </w:r>
      <w:r>
        <w:rPr>
          <w:rFonts w:hint="eastAsia"/>
        </w:rPr>
        <w:t>。</w:t>
      </w:r>
      <w:r>
        <w:t>充分利用高标准农田基础条件</w:t>
      </w:r>
      <w:r>
        <w:rPr>
          <w:rFonts w:hint="eastAsia"/>
        </w:rPr>
        <w:t>，</w:t>
      </w:r>
      <w:r>
        <w:t>推广应用高效节水灌溉技术</w:t>
      </w:r>
      <w:r>
        <w:rPr>
          <w:rFonts w:hint="eastAsia"/>
        </w:rPr>
        <w:t>、</w:t>
      </w:r>
      <w:r>
        <w:t>水肥药一体化灌溉技术</w:t>
      </w:r>
      <w:r>
        <w:rPr>
          <w:rFonts w:hint="eastAsia"/>
        </w:rPr>
        <w:t>、</w:t>
      </w:r>
      <w:r>
        <w:t>一体化智能灌溉泵站</w:t>
      </w:r>
      <w:r>
        <w:rPr>
          <w:rFonts w:hint="eastAsia"/>
        </w:rPr>
        <w:t>、</w:t>
      </w:r>
      <w:r>
        <w:t>灌溉系统水量实时调控等先进技术装备。</w:t>
      </w:r>
    </w:p>
    <w:p>
      <w:pPr>
        <w:pStyle w:val="5"/>
        <w:spacing w:before="72" w:after="72"/>
        <w:rPr>
          <w:kern w:val="0"/>
          <w:lang w:eastAsia="zh-CN"/>
        </w:rPr>
      </w:pPr>
      <w:bookmarkStart w:id="143" w:name="_Toc11705"/>
      <w:bookmarkStart w:id="144" w:name="_Toc25240"/>
      <w:bookmarkStart w:id="145" w:name="_Toc10532"/>
      <w:r>
        <w:rPr>
          <w:kern w:val="0"/>
          <w:lang w:eastAsia="zh-CN"/>
        </w:rPr>
        <w:t>第</w:t>
      </w:r>
      <w:r>
        <w:rPr>
          <w:rFonts w:hint="eastAsia"/>
          <w:kern w:val="0"/>
          <w:lang w:eastAsia="zh-CN"/>
        </w:rPr>
        <w:t>二</w:t>
      </w:r>
      <w:r>
        <w:rPr>
          <w:kern w:val="0"/>
          <w:lang w:eastAsia="zh-CN"/>
        </w:rPr>
        <w:t>节建设标准</w:t>
      </w:r>
      <w:bookmarkEnd w:id="143"/>
      <w:bookmarkEnd w:id="144"/>
      <w:bookmarkEnd w:id="145"/>
    </w:p>
    <w:p>
      <w:pPr>
        <w:ind w:firstLine="632"/>
      </w:pPr>
      <w:r>
        <w:t>遵循乡村振兴战略部署要求，统筹考虑高标准农田建设的农业、水利、土地、林业、电力、气象等各方面因素，围绕提升农田生产能力、灌排能力、田间道路通行运输能力、农田防护与生态环境保护能力、机械化水平、科技应用水平、建后管护能力等要求，结合国土空间、农业农村现代化发展、水资源利用等规划，紧扣高标准农田建设的田、土、水、路、林、电、技、管八个方面内容，加快构建科学统一、层次分明、结构合理的高标准农田建设标准体系。</w:t>
      </w:r>
    </w:p>
    <w:p>
      <w:pPr>
        <w:ind w:firstLine="632"/>
      </w:pPr>
      <w:r>
        <w:t>新增建设和改造提升高标准农田应依据《高标准农田建设通则》</w:t>
      </w:r>
      <w:r>
        <w:rPr>
          <w:rFonts w:hint="eastAsia"/>
        </w:rPr>
        <w:t>（</w:t>
      </w:r>
      <w:r>
        <w:t>GB/T30600</w:t>
      </w:r>
      <w:r>
        <w:rPr>
          <w:rFonts w:hint="eastAsia"/>
        </w:rPr>
        <w:t>）</w:t>
      </w:r>
      <w:r>
        <w:t>等国家标准、行业标准和地方标准，结合实际，统筹抓好农田配套设施建设和地力提升，确保工程质量与耕地质量。</w:t>
      </w:r>
    </w:p>
    <w:p>
      <w:pPr>
        <w:numPr>
          <w:ilvl w:val="0"/>
          <w:numId w:val="5"/>
        </w:numPr>
        <w:ind w:firstLine="634"/>
        <w:rPr>
          <w:b/>
          <w:bCs/>
        </w:rPr>
      </w:pPr>
      <w:r>
        <w:rPr>
          <w:b/>
          <w:bCs/>
        </w:rPr>
        <w:t>耕地标准</w:t>
      </w:r>
    </w:p>
    <w:p>
      <w:pPr>
        <w:ind w:firstLine="632"/>
        <w:rPr>
          <w:sz w:val="21"/>
        </w:rPr>
      </w:pPr>
      <w:r>
        <w:t>充分考虑水土光热资源环境条件等因素</w:t>
      </w:r>
      <w:r>
        <w:rPr>
          <w:rFonts w:hint="eastAsia"/>
        </w:rPr>
        <w:t>，</w:t>
      </w:r>
      <w:r>
        <w:t>进一步优化高标准农田空间布局。耕作田块的长度和宽度与当地气候条件</w:t>
      </w:r>
      <w:r>
        <w:rPr>
          <w:rFonts w:hint="eastAsia"/>
        </w:rPr>
        <w:t>、</w:t>
      </w:r>
      <w:r>
        <w:t>地形地貌</w:t>
      </w:r>
      <w:r>
        <w:rPr>
          <w:rFonts w:hint="eastAsia"/>
        </w:rPr>
        <w:t>、</w:t>
      </w:r>
      <w:r>
        <w:t>机械作业和灌溉与排水效率相适应。在山地丘陵区因地制宜修筑梯田</w:t>
      </w:r>
      <w:r>
        <w:rPr>
          <w:rFonts w:hint="eastAsia"/>
        </w:rPr>
        <w:t>，</w:t>
      </w:r>
      <w:r>
        <w:t>增强农田保土</w:t>
      </w:r>
      <w:r>
        <w:rPr>
          <w:rFonts w:hint="eastAsia"/>
        </w:rPr>
        <w:t>、</w:t>
      </w:r>
      <w:r>
        <w:t>保水</w:t>
      </w:r>
      <w:r>
        <w:rPr>
          <w:rFonts w:hint="eastAsia"/>
        </w:rPr>
        <w:t>、</w:t>
      </w:r>
      <w:r>
        <w:t>保肥能力</w:t>
      </w:r>
      <w:r>
        <w:rPr>
          <w:rFonts w:hint="eastAsia"/>
        </w:rPr>
        <w:t>。</w:t>
      </w:r>
      <w:r>
        <w:t>通过客土填充</w:t>
      </w:r>
      <w:r>
        <w:rPr>
          <w:rFonts w:hint="eastAsia"/>
        </w:rPr>
        <w:t>、</w:t>
      </w:r>
      <w:r>
        <w:t>剥离回填表土层等措施平整土地</w:t>
      </w:r>
      <w:r>
        <w:rPr>
          <w:rFonts w:hint="eastAsia"/>
        </w:rPr>
        <w:t>，</w:t>
      </w:r>
      <w:r>
        <w:t>合理调整农田地表坡降</w:t>
      </w:r>
      <w:r>
        <w:rPr>
          <w:rFonts w:hint="eastAsia"/>
        </w:rPr>
        <w:t>，</w:t>
      </w:r>
      <w:r>
        <w:t>改善农田耕作层</w:t>
      </w:r>
      <w:r>
        <w:rPr>
          <w:rFonts w:hint="eastAsia"/>
        </w:rPr>
        <w:t>，</w:t>
      </w:r>
      <w:r>
        <w:t>提高灌溉排水适宜性</w:t>
      </w:r>
      <w:r>
        <w:rPr>
          <w:rFonts w:hint="eastAsia"/>
        </w:rPr>
        <w:t>。</w:t>
      </w:r>
      <w:r>
        <w:t>农田有效土层达到50厘米以上</w:t>
      </w:r>
      <w:r>
        <w:rPr>
          <w:rFonts w:hint="eastAsia"/>
        </w:rPr>
        <w:t>，</w:t>
      </w:r>
      <w:r>
        <w:t>水浇地和旱地耕作层厚度在25厘米以上</w:t>
      </w:r>
      <w:r>
        <w:rPr>
          <w:rFonts w:hint="eastAsia"/>
        </w:rPr>
        <w:t>，</w:t>
      </w:r>
      <w:r>
        <w:t>水田耕作层厚度在20厘米左右</w:t>
      </w:r>
      <w:r>
        <w:rPr>
          <w:rFonts w:hint="eastAsia"/>
        </w:rPr>
        <w:t>。</w:t>
      </w:r>
      <w:r>
        <w:t>土体中无明显粘盘层</w:t>
      </w:r>
      <w:r>
        <w:rPr>
          <w:rFonts w:hint="eastAsia"/>
        </w:rPr>
        <w:t>、</w:t>
      </w:r>
      <w:r>
        <w:t>砂砾层等障碍因素。地面坡度为5°~25°的耕地应改造成水平梯田</w:t>
      </w:r>
      <w:r>
        <w:rPr>
          <w:rFonts w:hint="eastAsia"/>
        </w:rPr>
        <w:t>，</w:t>
      </w:r>
      <w:r>
        <w:t>山地丘陵区梯田化率不低于90%</w:t>
      </w:r>
      <w:r>
        <w:rPr>
          <w:rFonts w:hint="eastAsia"/>
        </w:rPr>
        <w:t>。</w:t>
      </w:r>
    </w:p>
    <w:p>
      <w:pPr>
        <w:numPr>
          <w:ilvl w:val="0"/>
          <w:numId w:val="5"/>
        </w:numPr>
        <w:ind w:firstLine="634"/>
        <w:rPr>
          <w:b/>
          <w:bCs/>
        </w:rPr>
      </w:pPr>
      <w:r>
        <w:rPr>
          <w:b/>
          <w:bCs/>
        </w:rPr>
        <w:t>排水标准</w:t>
      </w:r>
    </w:p>
    <w:p>
      <w:pPr>
        <w:ind w:firstLine="632"/>
      </w:pPr>
      <w:r>
        <w:rPr>
          <w:rFonts w:hint="eastAsia"/>
        </w:rPr>
        <w:t>（1）</w:t>
      </w:r>
      <w:r>
        <w:t>排涝标准</w:t>
      </w:r>
    </w:p>
    <w:p>
      <w:pPr>
        <w:ind w:firstLine="632"/>
      </w:pPr>
      <w:r>
        <w:t>农田排涝标准</w:t>
      </w:r>
      <w:r>
        <w:rPr>
          <w:rFonts w:hint="eastAsia"/>
        </w:rPr>
        <w:t>，</w:t>
      </w:r>
      <w:r>
        <w:t>旱地</w:t>
      </w:r>
      <w:r>
        <w:rPr>
          <w:rFonts w:hint="eastAsia"/>
        </w:rPr>
        <w:t>、</w:t>
      </w:r>
      <w:r>
        <w:t>水浇地暴雨重现期宜采用5年~10年一遇</w:t>
      </w:r>
      <w:r>
        <w:rPr>
          <w:rFonts w:hint="eastAsia"/>
        </w:rPr>
        <w:t>，</w:t>
      </w:r>
      <w:r>
        <w:t>可采用1天~3天暴雨1天~3天排除</w:t>
      </w:r>
      <w:r>
        <w:rPr>
          <w:rFonts w:hint="eastAsia"/>
        </w:rPr>
        <w:t>，</w:t>
      </w:r>
      <w:r>
        <w:t>设施农业种植区宜采用1天暴雨1天排除</w:t>
      </w:r>
      <w:r>
        <w:rPr>
          <w:rFonts w:hint="eastAsia"/>
        </w:rPr>
        <w:t>。</w:t>
      </w:r>
      <w:r>
        <w:t>水田暴雨重现期宜采用10年一遇</w:t>
      </w:r>
      <w:r>
        <w:rPr>
          <w:rFonts w:hint="eastAsia"/>
        </w:rPr>
        <w:t>，</w:t>
      </w:r>
      <w:r>
        <w:t>可采用1天~3天暴雨3天~5天排至耐淹水深</w:t>
      </w:r>
      <w:r>
        <w:rPr>
          <w:rFonts w:hint="eastAsia"/>
        </w:rPr>
        <w:t>。</w:t>
      </w:r>
    </w:p>
    <w:p>
      <w:pPr>
        <w:ind w:firstLine="632"/>
      </w:pPr>
      <w:r>
        <w:rPr>
          <w:rFonts w:hint="eastAsia"/>
        </w:rPr>
        <w:t>（2）</w:t>
      </w:r>
      <w:r>
        <w:t>排渍标准</w:t>
      </w:r>
    </w:p>
    <w:p>
      <w:pPr>
        <w:ind w:firstLine="632"/>
      </w:pPr>
      <w:r>
        <w:t>旱作区在渍害敏感期间可采用3天~4天内将地下水埋深降至田面以下0</w:t>
      </w:r>
      <w:r>
        <w:rPr>
          <w:rFonts w:hint="eastAsia"/>
        </w:rPr>
        <w:t>.</w:t>
      </w:r>
      <w:r>
        <w:t>4米~0</w:t>
      </w:r>
      <w:r>
        <w:rPr>
          <w:rFonts w:hint="eastAsia"/>
        </w:rPr>
        <w:t>.</w:t>
      </w:r>
      <w:r>
        <w:t>6米</w:t>
      </w:r>
      <w:r>
        <w:rPr>
          <w:rFonts w:hint="eastAsia"/>
        </w:rPr>
        <w:t>；</w:t>
      </w:r>
      <w:r>
        <w:t>稻作区在晒田期3天~5天内降至田面以下0</w:t>
      </w:r>
      <w:r>
        <w:rPr>
          <w:rFonts w:hint="eastAsia"/>
        </w:rPr>
        <w:t>.</w:t>
      </w:r>
      <w:r>
        <w:t>4米~0</w:t>
      </w:r>
      <w:r>
        <w:rPr>
          <w:rFonts w:hint="eastAsia"/>
        </w:rPr>
        <w:t>.</w:t>
      </w:r>
      <w:r>
        <w:t>6米</w:t>
      </w:r>
      <w:r>
        <w:rPr>
          <w:rFonts w:hint="eastAsia"/>
        </w:rPr>
        <w:t>。</w:t>
      </w:r>
      <w:r>
        <w:t>对于地下水矿化度较高的地区</w:t>
      </w:r>
      <w:r>
        <w:rPr>
          <w:rFonts w:hint="eastAsia"/>
        </w:rPr>
        <w:t>，</w:t>
      </w:r>
      <w:r>
        <w:t>除满足防渍要求外</w:t>
      </w:r>
      <w:r>
        <w:rPr>
          <w:rFonts w:hint="eastAsia"/>
        </w:rPr>
        <w:t>，</w:t>
      </w:r>
      <w:r>
        <w:t>还应将地下水位控制在地下水临界深度以下。</w:t>
      </w:r>
    </w:p>
    <w:p>
      <w:pPr>
        <w:numPr>
          <w:ilvl w:val="0"/>
          <w:numId w:val="5"/>
        </w:numPr>
        <w:ind w:firstLine="634"/>
        <w:rPr>
          <w:b/>
          <w:bCs/>
        </w:rPr>
      </w:pPr>
      <w:r>
        <w:rPr>
          <w:b/>
          <w:bCs/>
        </w:rPr>
        <w:t>灌溉标准</w:t>
      </w:r>
    </w:p>
    <w:p>
      <w:pPr>
        <w:ind w:firstLine="632"/>
      </w:pPr>
      <w:r>
        <w:t>灌溉设计保证率宜根据水文气象</w:t>
      </w:r>
      <w:r>
        <w:rPr>
          <w:rFonts w:hint="eastAsia"/>
        </w:rPr>
        <w:t>、</w:t>
      </w:r>
      <w:r>
        <w:t>水土资源</w:t>
      </w:r>
      <w:r>
        <w:rPr>
          <w:rFonts w:hint="eastAsia"/>
        </w:rPr>
        <w:t>、</w:t>
      </w:r>
      <w:r>
        <w:t>作物组成</w:t>
      </w:r>
      <w:r>
        <w:rPr>
          <w:rFonts w:hint="eastAsia"/>
        </w:rPr>
        <w:t>、</w:t>
      </w:r>
      <w:r>
        <w:t>灌溉规模</w:t>
      </w:r>
      <w:r>
        <w:rPr>
          <w:rFonts w:hint="eastAsia"/>
        </w:rPr>
        <w:t>、</w:t>
      </w:r>
      <w:r>
        <w:t>灌溉方式及经济效益等因素采用经验频率法计算</w:t>
      </w:r>
      <w:r>
        <w:rPr>
          <w:rFonts w:hint="eastAsia"/>
        </w:rPr>
        <w:t>，</w:t>
      </w:r>
      <w:r>
        <w:t>灌溉水利用系数应符合GB/T50363的要求</w:t>
      </w:r>
      <w:r>
        <w:rPr>
          <w:rFonts w:hint="eastAsia"/>
        </w:rPr>
        <w:t>。</w:t>
      </w:r>
    </w:p>
    <w:p>
      <w:pPr>
        <w:ind w:firstLine="0" w:firstLineChars="0"/>
        <w:jc w:val="center"/>
        <w:rPr>
          <w:b/>
          <w:bCs/>
        </w:rPr>
      </w:pPr>
      <w:r>
        <w:rPr>
          <w:b/>
          <w:bCs/>
        </w:rPr>
        <w:t>表</w:t>
      </w:r>
      <w:r>
        <w:rPr>
          <w:rFonts w:hint="eastAsia"/>
          <w:b/>
          <w:bCs/>
        </w:rPr>
        <w:t xml:space="preserve">3-6 </w:t>
      </w:r>
      <w:r>
        <w:rPr>
          <w:b/>
          <w:bCs/>
        </w:rPr>
        <w:t>灌溉设计保证率</w:t>
      </w:r>
    </w:p>
    <w:tbl>
      <w:tblPr>
        <w:tblStyle w:val="12"/>
        <w:tblpPr w:leftFromText="180" w:rightFromText="180" w:vertAnchor="text" w:horzAnchor="page" w:tblpX="1554" w:tblpY="77"/>
        <w:tblOverlap w:val="never"/>
        <w:tblW w:w="504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03"/>
        <w:gridCol w:w="4978"/>
        <w:gridCol w:w="2230"/>
        <w:gridCol w:w="26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0" w:hRule="atLeast"/>
          <w:tblHeader/>
        </w:trPr>
        <w:tc>
          <w:tcPr>
            <w:tcW w:w="696" w:type="pct"/>
            <w:noWrap/>
            <w:vAlign w:val="center"/>
          </w:tcPr>
          <w:p>
            <w:pPr>
              <w:pStyle w:val="6"/>
              <w:spacing w:before="120"/>
              <w:jc w:val="center"/>
              <w:rPr>
                <w:b/>
                <w:bCs/>
              </w:rPr>
            </w:pPr>
            <w:r>
              <w:rPr>
                <w:b/>
                <w:bCs/>
              </w:rPr>
              <w:t>灌溉方法</w:t>
            </w:r>
          </w:p>
        </w:tc>
        <w:tc>
          <w:tcPr>
            <w:tcW w:w="2050" w:type="pct"/>
            <w:noWrap/>
            <w:vAlign w:val="center"/>
          </w:tcPr>
          <w:p>
            <w:pPr>
              <w:pStyle w:val="6"/>
              <w:spacing w:before="120"/>
              <w:jc w:val="center"/>
              <w:rPr>
                <w:b/>
                <w:bCs/>
              </w:rPr>
            </w:pPr>
            <w:r>
              <w:rPr>
                <w:b/>
                <w:bCs/>
              </w:rPr>
              <w:t>地区</w:t>
            </w:r>
          </w:p>
        </w:tc>
        <w:tc>
          <w:tcPr>
            <w:tcW w:w="1033" w:type="pct"/>
            <w:noWrap/>
            <w:vAlign w:val="center"/>
          </w:tcPr>
          <w:p>
            <w:pPr>
              <w:pStyle w:val="6"/>
              <w:spacing w:before="120"/>
              <w:jc w:val="center"/>
              <w:rPr>
                <w:b/>
                <w:bCs/>
              </w:rPr>
            </w:pPr>
            <w:r>
              <w:rPr>
                <w:b/>
                <w:bCs/>
              </w:rPr>
              <w:t>作物种类</w:t>
            </w:r>
          </w:p>
        </w:tc>
        <w:tc>
          <w:tcPr>
            <w:tcW w:w="1219" w:type="pct"/>
            <w:noWrap/>
            <w:vAlign w:val="center"/>
          </w:tcPr>
          <w:p>
            <w:pPr>
              <w:pStyle w:val="6"/>
              <w:spacing w:before="120"/>
              <w:jc w:val="center"/>
              <w:rPr>
                <w:b/>
                <w:bCs/>
              </w:rPr>
            </w:pPr>
            <w:r>
              <w:rPr>
                <w:b/>
                <w:bCs/>
              </w:rPr>
              <w:t>灌溉设计保证率(%)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vMerge w:val="restart"/>
            <w:noWrap/>
            <w:vAlign w:val="center"/>
          </w:tcPr>
          <w:p>
            <w:pPr>
              <w:pStyle w:val="6"/>
              <w:spacing w:before="120"/>
              <w:jc w:val="center"/>
            </w:pPr>
            <w:r>
              <w:t>地面灌溉</w:t>
            </w:r>
          </w:p>
        </w:tc>
        <w:tc>
          <w:tcPr>
            <w:tcW w:w="2050" w:type="pct"/>
            <w:vMerge w:val="restart"/>
            <w:noWrap/>
            <w:vAlign w:val="center"/>
          </w:tcPr>
          <w:p>
            <w:pPr>
              <w:pStyle w:val="6"/>
              <w:spacing w:before="120"/>
              <w:jc w:val="center"/>
              <w:rPr>
                <w:lang w:eastAsia="zh-CN"/>
              </w:rPr>
            </w:pPr>
            <w:r>
              <w:rPr>
                <w:lang w:eastAsia="zh-CN"/>
              </w:rPr>
              <w:t>干旱地区或水资源紧</w:t>
            </w:r>
            <w:r>
              <w:rPr>
                <w:spacing w:val="7"/>
                <w:lang w:eastAsia="zh-CN"/>
              </w:rPr>
              <w:t>缺地区</w:t>
            </w:r>
          </w:p>
        </w:tc>
        <w:tc>
          <w:tcPr>
            <w:tcW w:w="1033" w:type="pct"/>
            <w:noWrap/>
            <w:vAlign w:val="center"/>
          </w:tcPr>
          <w:p>
            <w:pPr>
              <w:pStyle w:val="6"/>
              <w:spacing w:before="120"/>
              <w:jc w:val="center"/>
            </w:pPr>
            <w:r>
              <w:t>以旱作为主</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vMerge w:val="continue"/>
            <w:noWrap/>
            <w:vAlign w:val="center"/>
          </w:tcPr>
          <w:p>
            <w:pPr>
              <w:pStyle w:val="6"/>
              <w:spacing w:before="120"/>
              <w:jc w:val="center"/>
            </w:pPr>
          </w:p>
        </w:tc>
        <w:tc>
          <w:tcPr>
            <w:tcW w:w="2050" w:type="pct"/>
            <w:vMerge w:val="continue"/>
            <w:noWrap/>
            <w:vAlign w:val="center"/>
          </w:tcPr>
          <w:p>
            <w:pPr>
              <w:pStyle w:val="6"/>
              <w:spacing w:before="120"/>
              <w:jc w:val="center"/>
            </w:pPr>
          </w:p>
        </w:tc>
        <w:tc>
          <w:tcPr>
            <w:tcW w:w="1033" w:type="pct"/>
            <w:noWrap/>
            <w:vAlign w:val="center"/>
          </w:tcPr>
          <w:p>
            <w:pPr>
              <w:pStyle w:val="6"/>
              <w:spacing w:before="120"/>
              <w:jc w:val="center"/>
            </w:pPr>
            <w:r>
              <w:t>以水稻为主</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70~80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vMerge w:val="continue"/>
            <w:noWrap/>
            <w:vAlign w:val="center"/>
          </w:tcPr>
          <w:p>
            <w:pPr>
              <w:pStyle w:val="6"/>
              <w:spacing w:before="120"/>
              <w:jc w:val="center"/>
            </w:pPr>
          </w:p>
        </w:tc>
        <w:tc>
          <w:tcPr>
            <w:tcW w:w="2050" w:type="pct"/>
            <w:vMerge w:val="restart"/>
            <w:noWrap/>
            <w:vAlign w:val="center"/>
          </w:tcPr>
          <w:p>
            <w:pPr>
              <w:pStyle w:val="6"/>
              <w:spacing w:before="120"/>
              <w:jc w:val="center"/>
              <w:rPr>
                <w:lang w:eastAsia="zh-CN"/>
              </w:rPr>
            </w:pPr>
            <w:r>
              <w:rPr>
                <w:lang w:eastAsia="zh-CN"/>
              </w:rPr>
              <w:t>半干旱、半湿润地区或水资源不稳定地区</w:t>
            </w:r>
          </w:p>
        </w:tc>
        <w:tc>
          <w:tcPr>
            <w:tcW w:w="1033" w:type="pct"/>
            <w:noWrap/>
            <w:vAlign w:val="center"/>
          </w:tcPr>
          <w:p>
            <w:pPr>
              <w:pStyle w:val="6"/>
              <w:spacing w:before="120"/>
              <w:jc w:val="center"/>
            </w:pPr>
            <w:r>
              <w:t>以旱作为主</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70~80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vMerge w:val="continue"/>
            <w:noWrap/>
            <w:vAlign w:val="center"/>
          </w:tcPr>
          <w:p>
            <w:pPr>
              <w:pStyle w:val="6"/>
              <w:spacing w:before="120"/>
              <w:jc w:val="center"/>
            </w:pPr>
          </w:p>
        </w:tc>
        <w:tc>
          <w:tcPr>
            <w:tcW w:w="2050" w:type="pct"/>
            <w:vMerge w:val="continue"/>
            <w:noWrap/>
            <w:vAlign w:val="center"/>
          </w:tcPr>
          <w:p>
            <w:pPr>
              <w:pStyle w:val="6"/>
              <w:spacing w:before="120"/>
              <w:jc w:val="center"/>
            </w:pPr>
          </w:p>
        </w:tc>
        <w:tc>
          <w:tcPr>
            <w:tcW w:w="1033" w:type="pct"/>
            <w:noWrap/>
            <w:vAlign w:val="center"/>
          </w:tcPr>
          <w:p>
            <w:pPr>
              <w:pStyle w:val="6"/>
              <w:spacing w:before="120"/>
              <w:jc w:val="center"/>
            </w:pPr>
            <w:r>
              <w:t>以水稻为主</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75~85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98" w:type="dxa"/>
            <w:noWrap/>
            <w:vAlign w:val="center"/>
          </w:tcPr>
          <w:p>
            <w:pPr>
              <w:pStyle w:val="6"/>
              <w:spacing w:before="120"/>
              <w:jc w:val="center"/>
            </w:pPr>
            <w:r>
              <w:rPr>
                <w:b/>
                <w:bCs/>
              </w:rPr>
              <w:t>灌溉方法</w:t>
            </w:r>
          </w:p>
        </w:tc>
        <w:tc>
          <w:tcPr>
            <w:tcW w:w="3826" w:type="dxa"/>
            <w:noWrap/>
            <w:vAlign w:val="center"/>
          </w:tcPr>
          <w:p>
            <w:pPr>
              <w:pStyle w:val="6"/>
              <w:spacing w:before="120"/>
              <w:jc w:val="center"/>
            </w:pPr>
            <w:r>
              <w:rPr>
                <w:b/>
                <w:bCs/>
              </w:rPr>
              <w:t>地区</w:t>
            </w:r>
          </w:p>
        </w:tc>
        <w:tc>
          <w:tcPr>
            <w:tcW w:w="1928" w:type="dxa"/>
            <w:noWrap/>
            <w:vAlign w:val="center"/>
          </w:tcPr>
          <w:p>
            <w:pPr>
              <w:pStyle w:val="6"/>
              <w:spacing w:before="120"/>
              <w:jc w:val="center"/>
            </w:pPr>
            <w:r>
              <w:rPr>
                <w:b/>
                <w:bCs/>
              </w:rPr>
              <w:t>作物种类</w:t>
            </w:r>
          </w:p>
        </w:tc>
        <w:tc>
          <w:tcPr>
            <w:tcW w:w="2279" w:type="dxa"/>
            <w:noWrap/>
            <w:vAlign w:val="center"/>
          </w:tcPr>
          <w:p>
            <w:pPr>
              <w:pStyle w:val="6"/>
              <w:spacing w:before="120"/>
              <w:jc w:val="center"/>
              <w:rPr>
                <w:rFonts w:ascii="Times New Roman" w:hAnsi="Times New Roman" w:cs="Times New Roman"/>
                <w:lang w:eastAsia="zh-CN"/>
              </w:rPr>
            </w:pPr>
            <w:r>
              <w:rPr>
                <w:b/>
                <w:bCs/>
              </w:rPr>
              <w:t>灌溉设计保证率(%)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vMerge w:val="restart"/>
            <w:noWrap/>
            <w:vAlign w:val="center"/>
          </w:tcPr>
          <w:p>
            <w:pPr>
              <w:pStyle w:val="6"/>
              <w:spacing w:before="120"/>
              <w:jc w:val="center"/>
            </w:pPr>
            <w:r>
              <w:t>地面灌溉</w:t>
            </w:r>
          </w:p>
        </w:tc>
        <w:tc>
          <w:tcPr>
            <w:tcW w:w="2050" w:type="pct"/>
            <w:vMerge w:val="restart"/>
            <w:noWrap/>
            <w:vAlign w:val="center"/>
          </w:tcPr>
          <w:p>
            <w:pPr>
              <w:pStyle w:val="6"/>
              <w:spacing w:before="120"/>
              <w:jc w:val="center"/>
              <w:rPr>
                <w:lang w:eastAsia="zh-CN"/>
              </w:rPr>
            </w:pPr>
            <w:r>
              <w:rPr>
                <w:lang w:eastAsia="zh-CN"/>
              </w:rPr>
              <w:t>湿润地区或水资源丰富地区</w:t>
            </w:r>
          </w:p>
        </w:tc>
        <w:tc>
          <w:tcPr>
            <w:tcW w:w="1033" w:type="pct"/>
            <w:noWrap/>
            <w:vAlign w:val="center"/>
          </w:tcPr>
          <w:p>
            <w:pPr>
              <w:pStyle w:val="6"/>
              <w:spacing w:before="120"/>
              <w:jc w:val="center"/>
            </w:pPr>
            <w:r>
              <w:t>以旱作为主</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75~85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vMerge w:val="continue"/>
            <w:noWrap/>
            <w:vAlign w:val="center"/>
          </w:tcPr>
          <w:p>
            <w:pPr>
              <w:pStyle w:val="6"/>
              <w:spacing w:before="120"/>
              <w:jc w:val="center"/>
            </w:pPr>
          </w:p>
        </w:tc>
        <w:tc>
          <w:tcPr>
            <w:tcW w:w="2050" w:type="pct"/>
            <w:vMerge w:val="continue"/>
            <w:noWrap/>
            <w:vAlign w:val="center"/>
          </w:tcPr>
          <w:p>
            <w:pPr>
              <w:pStyle w:val="6"/>
              <w:spacing w:before="120"/>
              <w:jc w:val="center"/>
            </w:pPr>
          </w:p>
        </w:tc>
        <w:tc>
          <w:tcPr>
            <w:tcW w:w="1033" w:type="pct"/>
            <w:noWrap/>
            <w:vAlign w:val="center"/>
          </w:tcPr>
          <w:p>
            <w:pPr>
              <w:pStyle w:val="6"/>
              <w:spacing w:before="120"/>
              <w:jc w:val="center"/>
            </w:pPr>
            <w:r>
              <w:t>以水稻为主</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80~95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96" w:type="pct"/>
            <w:noWrap/>
            <w:vAlign w:val="center"/>
          </w:tcPr>
          <w:p>
            <w:pPr>
              <w:pStyle w:val="6"/>
              <w:spacing w:before="120"/>
              <w:jc w:val="center"/>
            </w:pPr>
            <w:r>
              <w:t>喷灌</w:t>
            </w:r>
            <w:r>
              <w:rPr>
                <w:rFonts w:hint="eastAsia"/>
              </w:rPr>
              <w:t>、</w:t>
            </w:r>
            <w:r>
              <w:t>微灌</w:t>
            </w:r>
          </w:p>
        </w:tc>
        <w:tc>
          <w:tcPr>
            <w:tcW w:w="2050" w:type="pct"/>
            <w:noWrap/>
            <w:vAlign w:val="center"/>
          </w:tcPr>
          <w:p>
            <w:pPr>
              <w:pStyle w:val="6"/>
              <w:spacing w:before="120"/>
              <w:jc w:val="center"/>
            </w:pPr>
            <w:r>
              <w:t>各类地区</w:t>
            </w:r>
          </w:p>
        </w:tc>
        <w:tc>
          <w:tcPr>
            <w:tcW w:w="1033" w:type="pct"/>
            <w:noWrap/>
            <w:vAlign w:val="center"/>
          </w:tcPr>
          <w:p>
            <w:pPr>
              <w:pStyle w:val="6"/>
              <w:spacing w:before="120"/>
              <w:jc w:val="center"/>
            </w:pPr>
            <w:r>
              <w:t>各类作物</w:t>
            </w:r>
          </w:p>
        </w:tc>
        <w:tc>
          <w:tcPr>
            <w:tcW w:w="1219"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85~95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4"/>
            <w:noWrap/>
            <w:vAlign w:val="center"/>
          </w:tcPr>
          <w:p>
            <w:pPr>
              <w:pStyle w:val="6"/>
              <w:spacing w:before="120"/>
              <w:rPr>
                <w:spacing w:val="-1"/>
                <w:lang w:eastAsia="zh-CN"/>
              </w:rPr>
            </w:pPr>
            <w:r>
              <w:rPr>
                <w:lang w:eastAsia="zh-CN"/>
              </w:rPr>
              <w:t>注</w:t>
            </w:r>
            <w:r>
              <w:rPr>
                <w:rFonts w:hint="eastAsia"/>
                <w:lang w:eastAsia="zh-CN"/>
              </w:rPr>
              <w:t>：</w:t>
            </w:r>
            <w:r>
              <w:rPr>
                <w:lang w:eastAsia="zh-CN"/>
              </w:rPr>
              <w:t>作物经济效益较高</w:t>
            </w:r>
            <w:r>
              <w:rPr>
                <w:rFonts w:hint="eastAsia"/>
                <w:lang w:eastAsia="zh-CN"/>
              </w:rPr>
              <w:t>，</w:t>
            </w:r>
            <w:r>
              <w:rPr>
                <w:lang w:eastAsia="zh-CN"/>
              </w:rPr>
              <w:t>宜选用表1中较大值</w:t>
            </w:r>
            <w:r>
              <w:rPr>
                <w:rFonts w:hint="eastAsia"/>
                <w:lang w:eastAsia="zh-CN"/>
              </w:rPr>
              <w:t>；</w:t>
            </w:r>
            <w:r>
              <w:rPr>
                <w:lang w:eastAsia="zh-CN"/>
              </w:rPr>
              <w:t>作物经济效益较低</w:t>
            </w:r>
            <w:r>
              <w:rPr>
                <w:rFonts w:hint="eastAsia"/>
                <w:lang w:eastAsia="zh-CN"/>
              </w:rPr>
              <w:t>，</w:t>
            </w:r>
            <w:r>
              <w:rPr>
                <w:lang w:eastAsia="zh-CN"/>
              </w:rPr>
              <w:t>可选用表中较小值。</w:t>
            </w:r>
          </w:p>
        </w:tc>
      </w:tr>
    </w:tbl>
    <w:p>
      <w:pPr>
        <w:ind w:left="632" w:leftChars="200" w:firstLine="0" w:firstLineChars="0"/>
        <w:rPr>
          <w:b/>
          <w:bCs/>
        </w:rPr>
      </w:pPr>
    </w:p>
    <w:p>
      <w:pPr>
        <w:numPr>
          <w:ilvl w:val="0"/>
          <w:numId w:val="5"/>
        </w:numPr>
        <w:ind w:firstLine="634"/>
        <w:rPr>
          <w:b/>
          <w:bCs/>
        </w:rPr>
      </w:pPr>
      <w:r>
        <w:rPr>
          <w:b/>
          <w:bCs/>
        </w:rPr>
        <w:t>道路标准</w:t>
      </w:r>
    </w:p>
    <w:p>
      <w:pPr>
        <w:ind w:firstLine="632"/>
      </w:pPr>
      <w:r>
        <w:t>田间道路</w:t>
      </w:r>
      <w:r>
        <w:rPr>
          <w:rFonts w:hint="eastAsia"/>
        </w:rPr>
        <w:t>（</w:t>
      </w:r>
      <w:r>
        <w:t>机耕路</w:t>
      </w:r>
      <w:r>
        <w:rPr>
          <w:rFonts w:hint="eastAsia"/>
        </w:rPr>
        <w:t>）</w:t>
      </w:r>
      <w:r>
        <w:t>路面宽度为3米~6米</w:t>
      </w:r>
      <w:r>
        <w:rPr>
          <w:rFonts w:hint="eastAsia"/>
        </w:rPr>
        <w:t>，</w:t>
      </w:r>
      <w:r>
        <w:t>采用泥结石</w:t>
      </w:r>
      <w:r>
        <w:rPr>
          <w:rFonts w:hint="eastAsia"/>
        </w:rPr>
        <w:t>、</w:t>
      </w:r>
      <w:r>
        <w:t>砂碎石或硬化路面</w:t>
      </w:r>
      <w:r>
        <w:rPr>
          <w:rFonts w:hint="eastAsia"/>
        </w:rPr>
        <w:t>；</w:t>
      </w:r>
      <w:r>
        <w:t>生产路的路面宽度不超过3米</w:t>
      </w:r>
      <w:r>
        <w:rPr>
          <w:rFonts w:hint="eastAsia"/>
        </w:rPr>
        <w:t>，</w:t>
      </w:r>
      <w:r>
        <w:t>路面采用砂碎</w:t>
      </w:r>
      <w:r>
        <w:rPr>
          <w:rFonts w:hint="eastAsia"/>
        </w:rPr>
        <w:t>（</w:t>
      </w:r>
      <w:r>
        <w:t>砾</w:t>
      </w:r>
      <w:r>
        <w:rPr>
          <w:rFonts w:hint="eastAsia"/>
        </w:rPr>
        <w:t>）</w:t>
      </w:r>
      <w:r>
        <w:t>石</w:t>
      </w:r>
      <w:r>
        <w:rPr>
          <w:rFonts w:hint="eastAsia"/>
        </w:rPr>
        <w:t>、</w:t>
      </w:r>
      <w:r>
        <w:t>碎石或硬化路面</w:t>
      </w:r>
      <w:r>
        <w:rPr>
          <w:rFonts w:hint="eastAsia"/>
        </w:rPr>
        <w:t>。</w:t>
      </w:r>
      <w:r>
        <w:t>当田间道与田面之间存在宽度或深度大于等于0</w:t>
      </w:r>
      <w:r>
        <w:rPr>
          <w:rFonts w:hint="eastAsia"/>
        </w:rPr>
        <w:t>.</w:t>
      </w:r>
      <w:r>
        <w:t>5m的沟渠或田面与路面的高差大于0</w:t>
      </w:r>
      <w:r>
        <w:rPr>
          <w:rFonts w:hint="eastAsia"/>
        </w:rPr>
        <w:t>.</w:t>
      </w:r>
      <w:r>
        <w:t>5m时</w:t>
      </w:r>
      <w:r>
        <w:rPr>
          <w:rFonts w:hint="eastAsia"/>
        </w:rPr>
        <w:t>，</w:t>
      </w:r>
      <w:r>
        <w:t>应设置连接坡道或涵管</w:t>
      </w:r>
      <w:r>
        <w:rPr>
          <w:rFonts w:hint="eastAsia"/>
        </w:rPr>
        <w:t>，</w:t>
      </w:r>
      <w:r>
        <w:t>连接坡道或涵管宽度取3m~4m</w:t>
      </w:r>
      <w:r>
        <w:rPr>
          <w:rFonts w:hint="eastAsia"/>
        </w:rPr>
        <w:t>，</w:t>
      </w:r>
      <w:r>
        <w:t>纵坡坡度宜大于15%</w:t>
      </w:r>
      <w:r>
        <w:rPr>
          <w:rFonts w:hint="eastAsia"/>
        </w:rPr>
        <w:t>。</w:t>
      </w:r>
      <w:r>
        <w:t>建成后</w:t>
      </w:r>
      <w:r>
        <w:rPr>
          <w:rFonts w:hint="eastAsia"/>
        </w:rPr>
        <w:t>，</w:t>
      </w:r>
      <w:r>
        <w:t>平原区田间道路通达度达到100%</w:t>
      </w:r>
      <w:r>
        <w:rPr>
          <w:rFonts w:hint="eastAsia"/>
        </w:rPr>
        <w:t>，</w:t>
      </w:r>
      <w:r>
        <w:t>丘陵区不低于80%。</w:t>
      </w:r>
    </w:p>
    <w:p>
      <w:pPr>
        <w:numPr>
          <w:ilvl w:val="0"/>
          <w:numId w:val="5"/>
        </w:numPr>
        <w:ind w:firstLine="634"/>
        <w:rPr>
          <w:b/>
          <w:bCs/>
        </w:rPr>
      </w:pPr>
      <w:r>
        <w:rPr>
          <w:b/>
          <w:bCs/>
        </w:rPr>
        <w:t>农田防护与生态环境保护标准</w:t>
      </w:r>
    </w:p>
    <w:p>
      <w:pPr>
        <w:ind w:firstLine="632"/>
      </w:pPr>
      <w:r>
        <w:t>根据因害设防原则</w:t>
      </w:r>
      <w:r>
        <w:rPr>
          <w:rFonts w:hint="eastAsia"/>
        </w:rPr>
        <w:t>，</w:t>
      </w:r>
      <w:r>
        <w:t>农田防护与生态环境保护工程应进行全面规划</w:t>
      </w:r>
      <w:r>
        <w:rPr>
          <w:rFonts w:hint="eastAsia"/>
        </w:rPr>
        <w:t>、</w:t>
      </w:r>
      <w:r>
        <w:t>综合治理</w:t>
      </w:r>
      <w:r>
        <w:rPr>
          <w:rFonts w:hint="eastAsia"/>
        </w:rPr>
        <w:t>，</w:t>
      </w:r>
      <w:r>
        <w:t>与田块</w:t>
      </w:r>
      <w:r>
        <w:rPr>
          <w:rFonts w:hint="eastAsia"/>
        </w:rPr>
        <w:t>、</w:t>
      </w:r>
      <w:r>
        <w:t>沟渠</w:t>
      </w:r>
      <w:r>
        <w:rPr>
          <w:rFonts w:hint="eastAsia"/>
        </w:rPr>
        <w:t>、</w:t>
      </w:r>
      <w:r>
        <w:t>道路等工程相结合</w:t>
      </w:r>
      <w:r>
        <w:rPr>
          <w:rFonts w:hint="eastAsia"/>
        </w:rPr>
        <w:t>，</w:t>
      </w:r>
      <w:r>
        <w:t>与农村居民点景观建设</w:t>
      </w:r>
      <w:r>
        <w:rPr>
          <w:rFonts w:hint="eastAsia"/>
        </w:rPr>
        <w:t>、</w:t>
      </w:r>
      <w:r>
        <w:t>农村生活污水达标尾水利用相协调。农田防洪标准为设计暴雨重现期为10-20年一遇</w:t>
      </w:r>
      <w:r>
        <w:rPr>
          <w:rFonts w:hint="eastAsia"/>
        </w:rPr>
        <w:t>，</w:t>
      </w:r>
      <w:r>
        <w:t>农田防护面积比例不低于90%。</w:t>
      </w:r>
    </w:p>
    <w:p>
      <w:pPr>
        <w:numPr>
          <w:ilvl w:val="0"/>
          <w:numId w:val="5"/>
        </w:numPr>
        <w:ind w:firstLine="634"/>
        <w:rPr>
          <w:b/>
          <w:bCs/>
        </w:rPr>
      </w:pPr>
      <w:r>
        <w:rPr>
          <w:b/>
          <w:bCs/>
        </w:rPr>
        <w:t>建筑物级别</w:t>
      </w:r>
    </w:p>
    <w:p>
      <w:pPr>
        <w:ind w:firstLine="632"/>
      </w:pPr>
      <w:r>
        <w:t>水工建筑物按5级进行设计。</w:t>
      </w:r>
    </w:p>
    <w:p>
      <w:pPr>
        <w:pStyle w:val="2"/>
        <w:ind w:left="632" w:firstLine="632"/>
        <w:sectPr>
          <w:footerReference r:id="rId14" w:type="default"/>
          <w:pgSz w:w="12050" w:h="16920"/>
          <w:pgMar w:top="1417" w:right="1417" w:bottom="1417" w:left="1417" w:header="850" w:footer="1020" w:gutter="0"/>
          <w:cols w:space="720" w:num="1"/>
        </w:sectPr>
      </w:pPr>
    </w:p>
    <w:p>
      <w:pPr>
        <w:pStyle w:val="3"/>
      </w:pPr>
      <w:bookmarkStart w:id="146" w:name="_Toc23911"/>
      <w:bookmarkStart w:id="147" w:name="_Toc13136"/>
      <w:bookmarkStart w:id="148" w:name="_Toc25126"/>
      <w:r>
        <w:t>第</w:t>
      </w:r>
      <w:r>
        <w:rPr>
          <w:rFonts w:hint="eastAsia"/>
        </w:rPr>
        <w:t>四</w:t>
      </w:r>
      <w:r>
        <w:t>章</w:t>
      </w:r>
      <w:bookmarkEnd w:id="146"/>
      <w:bookmarkEnd w:id="147"/>
      <w:r>
        <w:rPr>
          <w:rFonts w:hint="eastAsia"/>
        </w:rPr>
        <w:t>空间布局与建设任务</w:t>
      </w:r>
      <w:bookmarkEnd w:id="148"/>
    </w:p>
    <w:p>
      <w:pPr>
        <w:pStyle w:val="5"/>
        <w:spacing w:before="93" w:after="93"/>
        <w:rPr>
          <w:kern w:val="0"/>
          <w:lang w:eastAsia="zh-CN"/>
        </w:rPr>
      </w:pPr>
      <w:bookmarkStart w:id="149" w:name="_Toc24848"/>
      <w:bookmarkStart w:id="150" w:name="_Toc1409"/>
      <w:bookmarkStart w:id="151" w:name="_Toc25279"/>
      <w:r>
        <w:rPr>
          <w:kern w:val="0"/>
          <w:lang w:eastAsia="zh-CN"/>
        </w:rPr>
        <w:t>第一节</w:t>
      </w:r>
      <w:bookmarkEnd w:id="149"/>
      <w:r>
        <w:rPr>
          <w:rFonts w:hint="eastAsia"/>
          <w:kern w:val="0"/>
          <w:lang w:eastAsia="zh-CN"/>
        </w:rPr>
        <w:t>区域布局与建设重点</w:t>
      </w:r>
      <w:bookmarkEnd w:id="150"/>
      <w:bookmarkEnd w:id="151"/>
    </w:p>
    <w:p>
      <w:pPr>
        <w:ind w:firstLine="632"/>
        <w:rPr>
          <w:rFonts w:ascii="仿宋_GB2312"/>
          <w:color w:val="000000"/>
        </w:rPr>
      </w:pPr>
      <w:r>
        <w:rPr>
          <w:rFonts w:hint="eastAsia" w:ascii="仿宋_GB2312" w:cs="宋体"/>
          <w:color w:val="000000"/>
        </w:rPr>
        <w:t>高标准农田建设以永久基本农田保护区、水稻生产功能区为重点，按照整村、整乡（镇）推进原则，集中力量建设高标准农田，着力打造粮食和重要农产品保障基地。为合</w:t>
      </w:r>
      <w:r>
        <w:rPr>
          <w:rFonts w:hint="eastAsia" w:ascii="仿宋_GB2312"/>
          <w:color w:val="000000"/>
        </w:rPr>
        <w:t>理组织高标准农田项目工程建设，依据区域气候特点、地形地貌、耕作制度和土地利用限制因素等，将全区高标准农田建设分为4个二级工程类型区。</w:t>
      </w:r>
    </w:p>
    <w:p>
      <w:pPr>
        <w:numPr>
          <w:ilvl w:val="0"/>
          <w:numId w:val="6"/>
        </w:numPr>
        <w:ind w:firstLine="634"/>
        <w:rPr>
          <w:rFonts w:ascii="仿宋_GB2312"/>
          <w:b/>
          <w:bCs/>
          <w:color w:val="000000"/>
        </w:rPr>
      </w:pPr>
      <w:r>
        <w:rPr>
          <w:rFonts w:hint="eastAsia" w:ascii="仿宋_GB2312"/>
          <w:b/>
          <w:bCs/>
          <w:color w:val="000000"/>
        </w:rPr>
        <w:t>新建高标准农田建设项目</w:t>
      </w:r>
    </w:p>
    <w:p>
      <w:pPr>
        <w:numPr>
          <w:ilvl w:val="0"/>
          <w:numId w:val="7"/>
        </w:numPr>
        <w:ind w:firstLine="632"/>
        <w:rPr>
          <w:rFonts w:ascii="仿宋_GB2312"/>
          <w:color w:val="000000"/>
        </w:rPr>
      </w:pPr>
      <w:r>
        <w:rPr>
          <w:rFonts w:hint="eastAsia" w:ascii="仿宋_GB2312"/>
          <w:color w:val="000000"/>
        </w:rPr>
        <w:t>加强部门联动互助，共同提升建设实效。与各有关部门建立互助共享机制，做到对实施的高标准农田建设项目田间道工程，在规划布局是，积极与交通运输部门组织实施的交通基础设施提升工程相衔接；对实施的高标准农田建设项目农田水利工程，在规划布局是，积极与水利部门组织实施的水利基础设施建设工程相衔接等。集中各部门力量，强化资金天然衔接，立足于保障国家粮食安全，结合我区实际，将“田园化、宜机化、生态化、数字化、高产化”有融入农田建设范畴，倾力打造高标准农田示范项目，推动带动地方经济发展。</w:t>
      </w:r>
    </w:p>
    <w:p>
      <w:pPr>
        <w:numPr>
          <w:ilvl w:val="0"/>
          <w:numId w:val="7"/>
        </w:numPr>
        <w:ind w:firstLine="632"/>
        <w:rPr>
          <w:rFonts w:ascii="仿宋_GB2312"/>
          <w:color w:val="000000"/>
        </w:rPr>
      </w:pPr>
      <w:r>
        <w:rPr>
          <w:rFonts w:hint="eastAsia" w:ascii="仿宋_GB2312"/>
          <w:color w:val="000000"/>
        </w:rPr>
        <w:t>用好用足项目资金，夯实革命老区农田设施。对于未建过高标准农田的项目区，要充分利用好高标准农田建设新建项目资金，以标准化、田园化、宜机化、生态化的最美</w:t>
      </w:r>
      <w:r>
        <w:rPr>
          <w:rFonts w:ascii="仿宋_GB2312"/>
          <w:color w:val="000000"/>
        </w:rPr>
        <w:t>“</w:t>
      </w:r>
      <w:r>
        <w:rPr>
          <w:rFonts w:hint="eastAsia" w:ascii="仿宋_GB2312"/>
          <w:color w:val="000000"/>
        </w:rPr>
        <w:t>四化</w:t>
      </w:r>
      <w:r>
        <w:rPr>
          <w:rFonts w:ascii="仿宋_GB2312"/>
          <w:color w:val="000000"/>
        </w:rPr>
        <w:t>”</w:t>
      </w:r>
      <w:r>
        <w:rPr>
          <w:rFonts w:hint="eastAsia" w:ascii="仿宋_GB2312"/>
          <w:color w:val="000000"/>
        </w:rPr>
        <w:t>农田为建设目标，合理布局相关设施建设。对于已建高标准农田的项目区，积极争取高标准农田整区域推进示范项目与改造提升高标准农田建设项目，不断补齐项目区短板，切实提升项目区内耕地质量、交通条件、灌溉条件和防汛抗灾功能。相关县（市、区）、乡镇、村要压紧压实相应责任，落实好规划任务，切实将高标准农田项目融入到革命老区、苏区发展带的建设中。</w:t>
      </w:r>
    </w:p>
    <w:p>
      <w:pPr>
        <w:numPr>
          <w:ilvl w:val="0"/>
          <w:numId w:val="6"/>
        </w:numPr>
        <w:ind w:firstLine="634"/>
        <w:rPr>
          <w:rFonts w:ascii="仿宋_GB2312"/>
          <w:b/>
          <w:bCs/>
          <w:color w:val="000000"/>
        </w:rPr>
      </w:pPr>
      <w:r>
        <w:rPr>
          <w:rFonts w:hint="eastAsia" w:ascii="仿宋_GB2312"/>
          <w:b/>
          <w:bCs/>
          <w:color w:val="000000"/>
        </w:rPr>
        <w:t>改造提升高标准农田项目</w:t>
      </w:r>
    </w:p>
    <w:p>
      <w:pPr>
        <w:ind w:firstLine="632"/>
      </w:pPr>
      <w:r>
        <w:rPr>
          <w:rFonts w:hint="eastAsia"/>
        </w:rPr>
        <w:t>本次规划改造提升高标准农田建设项目主要以永久基本农田和粮食生产功能区为主要建设目标。在岩前镇、中村乡等有条件地区，按照连片、有示范作用且交通便利的要求，建设500亩以上连片改造提升高标准农田示范区。</w:t>
      </w:r>
    </w:p>
    <w:p>
      <w:pPr>
        <w:ind w:firstLine="632"/>
      </w:pPr>
      <w:r>
        <w:rPr>
          <w:rFonts w:hint="eastAsia"/>
        </w:rPr>
        <w:t>根据实地考察，岩前镇与中村乡有较多满足500亩连片改造提升高标准农田，本次规划决定将岩前镇与中村乡列为重点区，优先改造提升高标准农田。</w:t>
      </w:r>
    </w:p>
    <w:p>
      <w:pPr>
        <w:pStyle w:val="5"/>
        <w:spacing w:before="93" w:after="93"/>
        <w:rPr>
          <w:kern w:val="0"/>
          <w:lang w:eastAsia="zh-CN"/>
        </w:rPr>
      </w:pPr>
      <w:bookmarkStart w:id="152" w:name="_Toc29821"/>
      <w:bookmarkStart w:id="153" w:name="_Toc1020"/>
      <w:r>
        <w:rPr>
          <w:kern w:val="0"/>
          <w:lang w:eastAsia="zh-CN"/>
        </w:rPr>
        <w:t>第</w:t>
      </w:r>
      <w:r>
        <w:rPr>
          <w:rFonts w:hint="eastAsia"/>
          <w:kern w:val="0"/>
          <w:lang w:eastAsia="zh-CN"/>
        </w:rPr>
        <w:t>二</w:t>
      </w:r>
      <w:r>
        <w:rPr>
          <w:kern w:val="0"/>
          <w:lang w:eastAsia="zh-CN"/>
        </w:rPr>
        <w:t>节分区建设</w:t>
      </w:r>
      <w:r>
        <w:rPr>
          <w:rFonts w:hint="eastAsia"/>
          <w:kern w:val="0"/>
          <w:lang w:eastAsia="zh-CN"/>
        </w:rPr>
        <w:t>重点</w:t>
      </w:r>
      <w:bookmarkEnd w:id="152"/>
      <w:bookmarkEnd w:id="153"/>
    </w:p>
    <w:p>
      <w:pPr>
        <w:ind w:firstLine="632"/>
      </w:pPr>
      <w:r>
        <w:rPr>
          <w:rFonts w:hint="eastAsia"/>
        </w:rPr>
        <w:t>丘陵台地、丘间冲垄。河谷盆地、沿溪沙地等4类二级工程类型区建设重点如下。</w:t>
      </w:r>
    </w:p>
    <w:p>
      <w:pPr>
        <w:numPr>
          <w:ilvl w:val="0"/>
          <w:numId w:val="8"/>
        </w:numPr>
        <w:ind w:firstLine="634"/>
        <w:rPr>
          <w:rFonts w:ascii="仿宋_GB2312"/>
          <w:b/>
          <w:bCs/>
          <w:color w:val="000000"/>
        </w:rPr>
      </w:pPr>
      <w:r>
        <w:rPr>
          <w:rFonts w:hint="eastAsia" w:ascii="仿宋_GB2312"/>
          <w:b/>
          <w:bCs/>
          <w:color w:val="000000"/>
        </w:rPr>
        <w:t>丘陵台地</w:t>
      </w:r>
    </w:p>
    <w:p>
      <w:pPr>
        <w:ind w:firstLine="632"/>
      </w:pPr>
      <w:r>
        <w:rPr>
          <w:rFonts w:hint="eastAsia"/>
        </w:rPr>
        <w:t>该类型主要位于陈大镇、洋溪镇、中村乡、岩前镇等镇内的台地、低丘陵、高丘陵和低山区。</w:t>
      </w:r>
    </w:p>
    <w:p>
      <w:pPr>
        <w:ind w:firstLine="634"/>
      </w:pPr>
      <w:r>
        <w:rPr>
          <w:rFonts w:hint="eastAsia"/>
          <w:b/>
          <w:bCs/>
        </w:rPr>
        <w:t>土地利用限制因素：</w:t>
      </w:r>
      <w:r>
        <w:rPr>
          <w:rFonts w:hint="eastAsia"/>
        </w:rPr>
        <w:t>该区区内水利、交通设施欠缺，水土流失严重，自然降水的利用率低，水源不足，存在浅、酸瘦、粘坂、旱等问题。</w:t>
      </w:r>
    </w:p>
    <w:p>
      <w:pPr>
        <w:ind w:firstLine="634"/>
      </w:pPr>
      <w:r>
        <w:rPr>
          <w:rFonts w:hint="eastAsia"/>
          <w:b/>
          <w:bCs/>
        </w:rPr>
        <w:t>建设重点：</w:t>
      </w:r>
      <w:r>
        <w:rPr>
          <w:rFonts w:hint="eastAsia"/>
        </w:rPr>
        <w:t>等高水平梯田建造、拦蓄水、田间道、水土保持等工程。田块以梯田形式为主；灌溉可提引河流过境水或引山涧水、水库水或修建塘坝蓄引水；输水方式以明渠或管道；排水方式为自流方式；沿边界修建截水沟，梯田一般就地形等高线平整，修筑田坎；修建排洪沟和护岸以防山洪冲毁耕地；上坡地方栽种水土保持林以防止水土流失；对外交通为水泥路，田间路为水泥路、泥结石路、砂碎石路，生产路为碎石路。</w:t>
      </w:r>
    </w:p>
    <w:p>
      <w:pPr>
        <w:numPr>
          <w:ilvl w:val="0"/>
          <w:numId w:val="8"/>
        </w:numPr>
        <w:ind w:firstLine="634"/>
        <w:rPr>
          <w:rFonts w:ascii="仿宋_GB2312"/>
          <w:b/>
          <w:bCs/>
          <w:color w:val="000000"/>
        </w:rPr>
      </w:pPr>
      <w:r>
        <w:rPr>
          <w:rFonts w:hint="eastAsia" w:ascii="仿宋_GB2312"/>
          <w:b/>
          <w:bCs/>
          <w:color w:val="000000"/>
        </w:rPr>
        <w:t>丘间冲垄</w:t>
      </w:r>
    </w:p>
    <w:p>
      <w:pPr>
        <w:ind w:firstLine="632"/>
      </w:pPr>
      <w:r>
        <w:rPr>
          <w:rFonts w:hint="eastAsia"/>
        </w:rPr>
        <w:t>该类型主要位于陈大镇、洋溪镇、中村乡、岩前镇、莘口镇、徐碧街道等镇内的台地、丘陵、山地间的谷底，一般为行政村或自然村所在区域。</w:t>
      </w:r>
    </w:p>
    <w:p>
      <w:pPr>
        <w:ind w:firstLine="634"/>
      </w:pPr>
      <w:r>
        <w:rPr>
          <w:rFonts w:hint="eastAsia"/>
          <w:b/>
          <w:bCs/>
        </w:rPr>
        <w:t>土地利用限制因素：</w:t>
      </w:r>
      <w:r>
        <w:rPr>
          <w:rFonts w:hint="eastAsia"/>
        </w:rPr>
        <w:t>该区区内水利、交通设施欠缺，地势高低起伏，高地缺水，低洼地存在酸瘦、涝、冷烂等问题。存在排水、排渍问题。</w:t>
      </w:r>
    </w:p>
    <w:p>
      <w:pPr>
        <w:ind w:firstLine="634"/>
      </w:pPr>
      <w:r>
        <w:rPr>
          <w:rFonts w:hint="eastAsia"/>
          <w:b/>
          <w:bCs/>
        </w:rPr>
        <w:t>建设重点：</w:t>
      </w:r>
      <w:r>
        <w:rPr>
          <w:rFonts w:hint="eastAsia"/>
        </w:rPr>
        <w:t>拦蓄水、灌排沟道、截洪排水、田间道路和田块平整等工程。底部田块以小规格格田、方田或梯田，上部田块以梯田形式为主；灌溉可提引山涧水或修缮蓄水池；输水方式为明渠或管道；排水方式为自由方式；沿边界修建截水沟，梯田一般就地形等高线平整，修筑田坎，底部按小规格格田、方田或梯田形式进行平整；底部排洪沟两岸要修筑护坡以防山洪冲毁耕地；谷顶和谷坡栽种水土保持林以防水土流失；对外交通为水泥路，田间路为水泥路、泥结石路，生产路为土路。</w:t>
      </w:r>
    </w:p>
    <w:p>
      <w:pPr>
        <w:numPr>
          <w:ilvl w:val="0"/>
          <w:numId w:val="8"/>
        </w:numPr>
        <w:ind w:firstLine="634"/>
        <w:rPr>
          <w:rFonts w:ascii="仿宋_GB2312"/>
          <w:b/>
          <w:bCs/>
          <w:color w:val="000000"/>
        </w:rPr>
      </w:pPr>
      <w:r>
        <w:rPr>
          <w:rFonts w:hint="eastAsia" w:ascii="仿宋_GB2312"/>
          <w:b/>
          <w:bCs/>
          <w:color w:val="000000"/>
        </w:rPr>
        <w:t>河谷盆地</w:t>
      </w:r>
    </w:p>
    <w:p>
      <w:pPr>
        <w:ind w:firstLine="632"/>
      </w:pPr>
      <w:r>
        <w:rPr>
          <w:rFonts w:hint="eastAsia"/>
        </w:rPr>
        <w:t>该类型主要位于陈大镇、洋溪镇、中村乡、岩前镇、莘口镇、徐碧街道等镇沿河流的宽谷、盆地。一般为各乡、镇区所在区域。</w:t>
      </w:r>
    </w:p>
    <w:p>
      <w:pPr>
        <w:ind w:firstLine="634"/>
      </w:pPr>
      <w:r>
        <w:rPr>
          <w:rFonts w:hint="eastAsia"/>
          <w:b/>
          <w:bCs/>
        </w:rPr>
        <w:t>土地利用限制因素：</w:t>
      </w:r>
      <w:r>
        <w:rPr>
          <w:rFonts w:hint="eastAsia"/>
        </w:rPr>
        <w:t>该区区内农田基础设施存在标准低，不健全和老化失修等问题。</w:t>
      </w:r>
    </w:p>
    <w:p>
      <w:pPr>
        <w:ind w:firstLine="634"/>
      </w:pPr>
      <w:r>
        <w:rPr>
          <w:rFonts w:hint="eastAsia"/>
          <w:b/>
          <w:bCs/>
        </w:rPr>
        <w:t>建设重点：</w:t>
      </w:r>
      <w:r>
        <w:rPr>
          <w:rFonts w:hint="eastAsia"/>
        </w:rPr>
        <w:t>路、坝、沟、渠等工程更新、改造和提高，以及田块进一步规整。田块以较大规格格田形式为主；灌溉可提引河流过境水或引山涧水；输水方式为明渠或管道；排水方式为自流方式；配套排渍工程设施，修建防冲护岸以防洪涝灾害。对外交通为水泥路，田间道为水泥路、泥结石路或砂碎石路，生产路为土路或碎石路。</w:t>
      </w:r>
    </w:p>
    <w:p>
      <w:pPr>
        <w:numPr>
          <w:ilvl w:val="0"/>
          <w:numId w:val="8"/>
        </w:numPr>
        <w:ind w:firstLine="634"/>
        <w:rPr>
          <w:rFonts w:ascii="仿宋_GB2312"/>
          <w:b/>
          <w:bCs/>
          <w:color w:val="000000"/>
        </w:rPr>
      </w:pPr>
      <w:r>
        <w:rPr>
          <w:rFonts w:hint="eastAsia" w:ascii="仿宋_GB2312"/>
          <w:b/>
          <w:bCs/>
          <w:color w:val="000000"/>
        </w:rPr>
        <w:t>沿溪沙地</w:t>
      </w:r>
    </w:p>
    <w:p>
      <w:pPr>
        <w:widowControl/>
        <w:ind w:firstLine="632"/>
        <w:jc w:val="left"/>
      </w:pPr>
      <w:r>
        <w:rPr>
          <w:rFonts w:hint="eastAsia"/>
        </w:rPr>
        <w:t>该类型区主要位于莘口镇、徐碧街道、陈大镇、洋溪镇等镇内盆地和谷地的溪边。</w:t>
      </w:r>
    </w:p>
    <w:p>
      <w:pPr>
        <w:widowControl/>
        <w:ind w:firstLine="634"/>
        <w:jc w:val="left"/>
      </w:pPr>
      <w:r>
        <w:rPr>
          <w:rFonts w:hint="eastAsia"/>
          <w:b/>
          <w:bCs/>
        </w:rPr>
        <w:t>土地利用限制因素：</w:t>
      </w:r>
      <w:r>
        <w:rPr>
          <w:rFonts w:hint="eastAsia"/>
        </w:rPr>
        <w:t>该区雨季时常遭受洪涝灾害，区内堤岸防护工程缺乏，存在浅、酸瘦、沙漏、旱等问题。</w:t>
      </w:r>
    </w:p>
    <w:p>
      <w:pPr>
        <w:widowControl/>
        <w:ind w:firstLine="634"/>
        <w:jc w:val="left"/>
      </w:pPr>
      <w:r>
        <w:rPr>
          <w:rFonts w:hint="eastAsia"/>
          <w:b/>
          <w:bCs/>
        </w:rPr>
        <w:t>建设重点：</w:t>
      </w:r>
      <w:r>
        <w:rPr>
          <w:rFonts w:hint="eastAsia"/>
        </w:rPr>
        <w:t>农田防护工程、土壤客土改良、格田平整与路、渠相配套工程的组合。田块以较大规格格田形式为主；灌溉可提引河流过境水或引山涧水；输水方式为明渠或管道；排水方式为自流方式；配套防护工程设施，修建防冲护岸以防洪涝灾害。对外交通为水泥路，田间道为水泥路、泥结石路或砂碎石路，生产路为土路或碎石路。</w:t>
      </w:r>
    </w:p>
    <w:p>
      <w:pPr>
        <w:pStyle w:val="5"/>
        <w:spacing w:before="93" w:after="93"/>
        <w:rPr>
          <w:kern w:val="0"/>
          <w:lang w:eastAsia="zh-CN"/>
        </w:rPr>
      </w:pPr>
      <w:bookmarkStart w:id="154" w:name="_Toc11450"/>
      <w:bookmarkStart w:id="155" w:name="_Toc5079"/>
      <w:bookmarkStart w:id="156" w:name="_Toc31308"/>
      <w:r>
        <w:rPr>
          <w:kern w:val="0"/>
          <w:lang w:eastAsia="zh-CN"/>
        </w:rPr>
        <w:t>第</w:t>
      </w:r>
      <w:r>
        <w:rPr>
          <w:rFonts w:hint="eastAsia"/>
          <w:kern w:val="0"/>
          <w:lang w:eastAsia="zh-CN"/>
        </w:rPr>
        <w:t>三</w:t>
      </w:r>
      <w:r>
        <w:rPr>
          <w:kern w:val="0"/>
          <w:lang w:eastAsia="zh-CN"/>
        </w:rPr>
        <w:t>节分区</w:t>
      </w:r>
      <w:bookmarkEnd w:id="154"/>
      <w:r>
        <w:rPr>
          <w:rFonts w:hint="eastAsia"/>
          <w:kern w:val="0"/>
          <w:lang w:eastAsia="zh-CN"/>
        </w:rPr>
        <w:t>建设任务</w:t>
      </w:r>
      <w:bookmarkEnd w:id="155"/>
      <w:bookmarkEnd w:id="156"/>
    </w:p>
    <w:p>
      <w:pPr>
        <w:ind w:firstLine="632"/>
      </w:pPr>
      <w:r>
        <w:t>规划期限内，确保2021-2025年全</w:t>
      </w:r>
      <w:r>
        <w:rPr>
          <w:rFonts w:hint="eastAsia"/>
        </w:rPr>
        <w:t>区</w:t>
      </w:r>
      <w:r>
        <w:t>新建高标准农田</w:t>
      </w:r>
      <w:r>
        <w:rPr>
          <w:rFonts w:hint="eastAsia"/>
        </w:rPr>
        <w:t>0.65</w:t>
      </w:r>
      <w:r>
        <w:t>万亩，改造提升高标准农田</w:t>
      </w:r>
      <w:r>
        <w:rPr>
          <w:rFonts w:hint="eastAsia"/>
        </w:rPr>
        <w:t>1.0</w:t>
      </w:r>
      <w:r>
        <w:t>万亩，新增高效节水灌溉面积</w:t>
      </w:r>
      <w:r>
        <w:rPr>
          <w:rFonts w:hint="eastAsia"/>
        </w:rPr>
        <w:t>0.65</w:t>
      </w:r>
      <w:r>
        <w:t>万亩</w:t>
      </w:r>
      <w:r>
        <w:rPr>
          <w:rFonts w:hint="eastAsia"/>
        </w:rPr>
        <w:t>；</w:t>
      </w:r>
      <w:r>
        <w:t>2026-2030年全</w:t>
      </w:r>
      <w:r>
        <w:rPr>
          <w:rFonts w:hint="eastAsia"/>
        </w:rPr>
        <w:t>区</w:t>
      </w:r>
      <w:r>
        <w:t>新建高标准农田</w:t>
      </w:r>
      <w:r>
        <w:rPr>
          <w:rFonts w:hint="eastAsia"/>
        </w:rPr>
        <w:t>1.3</w:t>
      </w:r>
      <w:r>
        <w:t>万亩，改造提升高标准农田</w:t>
      </w:r>
      <w:r>
        <w:rPr>
          <w:rFonts w:hint="eastAsia"/>
        </w:rPr>
        <w:t>0.5</w:t>
      </w:r>
      <w:r>
        <w:t>万亩，新增高效节水灌溉面积</w:t>
      </w:r>
      <w:r>
        <w:rPr>
          <w:rFonts w:hint="eastAsia"/>
        </w:rPr>
        <w:t>0.4</w:t>
      </w:r>
      <w:r>
        <w:t>万亩</w:t>
      </w:r>
      <w:r>
        <w:rPr>
          <w:rFonts w:hint="eastAsia"/>
        </w:rPr>
        <w:t>（</w:t>
      </w:r>
      <w:r>
        <w:t>均以</w:t>
      </w:r>
      <w:r>
        <w:rPr>
          <w:rFonts w:hint="eastAsia"/>
        </w:rPr>
        <w:t>市</w:t>
      </w:r>
      <w:r>
        <w:t>下达</w:t>
      </w:r>
      <w:r>
        <w:rPr>
          <w:rFonts w:hint="eastAsia"/>
        </w:rPr>
        <w:t>我区</w:t>
      </w:r>
      <w:r>
        <w:t>任务为准</w:t>
      </w:r>
      <w:r>
        <w:rPr>
          <w:rFonts w:hint="eastAsia"/>
        </w:rPr>
        <w:t>）</w:t>
      </w:r>
      <w:r>
        <w:t>。</w:t>
      </w:r>
    </w:p>
    <w:p>
      <w:pPr>
        <w:ind w:firstLine="632"/>
      </w:pPr>
      <w:r>
        <w:rPr>
          <w:rFonts w:hint="eastAsia"/>
        </w:rPr>
        <w:t>我区</w:t>
      </w:r>
      <w:r>
        <w:t>综合考虑各地耕地资源、水资源、永久基本农田面积、水稻生产功能区面积、粮食产能等因素，统筹分析各地粮食播种面积、耕地数量、规模连片面积、已建设高标准农田面积等因素，以及各地高标准农田建设上图入库、生态红线和区域经济发展规划等情况，对剩余耕地资源结合卫星航拍图并进行现场咨询踏勘核对，根据</w:t>
      </w:r>
      <w:r>
        <w:rPr>
          <w:rFonts w:hint="eastAsia"/>
        </w:rPr>
        <w:t>各乡镇</w:t>
      </w:r>
      <w:r>
        <w:t>剩余资源按照先易后难、突出重点、发挥优势、兼顾均衡、注重实效的工作思路，科学规划、合理确定</w:t>
      </w:r>
      <w:r>
        <w:rPr>
          <w:rFonts w:hint="eastAsia"/>
        </w:rPr>
        <w:t>各乡镇</w:t>
      </w:r>
      <w:r>
        <w:t>高标准农田新增建设、改造提升和高效节水灌溉建设任务。</w:t>
      </w:r>
    </w:p>
    <w:p>
      <w:pPr>
        <w:spacing w:line="240" w:lineRule="auto"/>
        <w:ind w:firstLine="0" w:firstLineChars="0"/>
        <w:jc w:val="center"/>
        <w:rPr>
          <w:b/>
          <w:bCs/>
        </w:rPr>
      </w:pPr>
      <w:r>
        <w:rPr>
          <w:rFonts w:hint="eastAsia"/>
          <w:b/>
          <w:bCs/>
        </w:rPr>
        <w:t>表4-1 三元区耕地资源现状情况表</w:t>
      </w:r>
    </w:p>
    <w:p>
      <w:pPr>
        <w:spacing w:line="240" w:lineRule="auto"/>
        <w:ind w:firstLine="632"/>
        <w:jc w:val="right"/>
      </w:pPr>
      <w:r>
        <w:rPr>
          <w:rFonts w:hint="eastAsia"/>
        </w:rPr>
        <w:t>单位：</w:t>
      </w:r>
      <w:r>
        <w:rPr>
          <w:rFonts w:hint="eastAsia"/>
          <w:spacing w:val="0"/>
          <w:kern w:val="0"/>
        </w:rPr>
        <w:t>亩</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2465"/>
        <w:gridCol w:w="1401"/>
        <w:gridCol w:w="1527"/>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blHeader/>
          <w:jc w:val="center"/>
        </w:trPr>
        <w:tc>
          <w:tcPr>
            <w:tcW w:w="993" w:type="pct"/>
            <w:vMerge w:val="restart"/>
            <w:noWrap/>
            <w:vAlign w:val="center"/>
          </w:tcPr>
          <w:p>
            <w:pPr>
              <w:pStyle w:val="6"/>
              <w:spacing w:line="400" w:lineRule="exact"/>
              <w:jc w:val="center"/>
              <w:rPr>
                <w:b/>
                <w:bCs/>
                <w:spacing w:val="0"/>
                <w:kern w:val="0"/>
                <w:lang w:eastAsia="zh-CN"/>
              </w:rPr>
            </w:pPr>
            <w:r>
              <w:rPr>
                <w:rFonts w:hint="eastAsia"/>
                <w:b/>
                <w:bCs/>
                <w:spacing w:val="0"/>
                <w:kern w:val="0"/>
                <w:lang w:eastAsia="zh-CN"/>
              </w:rPr>
              <w:t>乡镇</w:t>
            </w:r>
          </w:p>
        </w:tc>
        <w:tc>
          <w:tcPr>
            <w:tcW w:w="928" w:type="pct"/>
            <w:vMerge w:val="restart"/>
            <w:noWrap/>
            <w:vAlign w:val="center"/>
          </w:tcPr>
          <w:p>
            <w:pPr>
              <w:pStyle w:val="6"/>
              <w:spacing w:line="400" w:lineRule="exact"/>
              <w:jc w:val="center"/>
              <w:rPr>
                <w:b/>
                <w:bCs/>
                <w:spacing w:val="0"/>
                <w:kern w:val="0"/>
                <w:lang w:eastAsia="zh-CN"/>
              </w:rPr>
            </w:pPr>
            <w:r>
              <w:rPr>
                <w:rFonts w:hint="eastAsia"/>
                <w:b/>
                <w:bCs/>
                <w:spacing w:val="0"/>
                <w:kern w:val="0"/>
                <w:lang w:eastAsia="zh-CN"/>
              </w:rPr>
              <w:t>耕地总面积（亩）</w:t>
            </w:r>
          </w:p>
        </w:tc>
        <w:tc>
          <w:tcPr>
            <w:tcW w:w="3077" w:type="pct"/>
            <w:gridSpan w:val="3"/>
            <w:noWrap/>
            <w:vAlign w:val="center"/>
          </w:tcPr>
          <w:p>
            <w:pPr>
              <w:pStyle w:val="6"/>
              <w:spacing w:line="400" w:lineRule="exact"/>
              <w:jc w:val="center"/>
              <w:rPr>
                <w:b/>
                <w:bCs/>
                <w:spacing w:val="0"/>
                <w:kern w:val="0"/>
                <w:lang w:eastAsia="zh-CN"/>
              </w:rPr>
            </w:pPr>
            <w:r>
              <w:rPr>
                <w:rFonts w:hint="eastAsia"/>
                <w:b/>
                <w:bCs/>
                <w:spacing w:val="0"/>
                <w:kern w:val="0"/>
                <w:lang w:eastAsia="zh-CN"/>
              </w:rPr>
              <w:t>耕地利用类型面积（亩）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3" w:type="pct"/>
            <w:vMerge w:val="continue"/>
            <w:noWrap/>
            <w:vAlign w:val="center"/>
          </w:tcPr>
          <w:p>
            <w:pPr>
              <w:pStyle w:val="6"/>
              <w:spacing w:line="400" w:lineRule="exact"/>
              <w:jc w:val="center"/>
              <w:rPr>
                <w:b/>
                <w:bCs/>
                <w:spacing w:val="0"/>
                <w:kern w:val="0"/>
                <w:lang w:eastAsia="zh-CN"/>
              </w:rPr>
            </w:pPr>
          </w:p>
        </w:tc>
        <w:tc>
          <w:tcPr>
            <w:tcW w:w="928" w:type="pct"/>
            <w:vMerge w:val="continue"/>
            <w:noWrap/>
            <w:vAlign w:val="center"/>
          </w:tcPr>
          <w:p>
            <w:pPr>
              <w:pStyle w:val="6"/>
              <w:spacing w:line="400" w:lineRule="exact"/>
              <w:jc w:val="center"/>
              <w:rPr>
                <w:b/>
                <w:bCs/>
                <w:spacing w:val="0"/>
                <w:kern w:val="0"/>
                <w:lang w:eastAsia="zh-CN"/>
              </w:rPr>
            </w:pPr>
          </w:p>
        </w:tc>
        <w:tc>
          <w:tcPr>
            <w:tcW w:w="1025" w:type="pct"/>
            <w:noWrap/>
            <w:vAlign w:val="center"/>
          </w:tcPr>
          <w:p>
            <w:pPr>
              <w:pStyle w:val="6"/>
              <w:spacing w:line="400" w:lineRule="exact"/>
              <w:jc w:val="center"/>
              <w:rPr>
                <w:b/>
                <w:bCs/>
                <w:spacing w:val="0"/>
                <w:kern w:val="0"/>
                <w:lang w:eastAsia="zh-CN"/>
              </w:rPr>
            </w:pPr>
            <w:r>
              <w:rPr>
                <w:rFonts w:hint="eastAsia"/>
                <w:b/>
                <w:bCs/>
                <w:spacing w:val="0"/>
                <w:kern w:val="0"/>
                <w:lang w:eastAsia="zh-CN"/>
              </w:rPr>
              <w:t>水田</w:t>
            </w:r>
          </w:p>
        </w:tc>
        <w:tc>
          <w:tcPr>
            <w:tcW w:w="1025" w:type="pct"/>
            <w:noWrap/>
            <w:vAlign w:val="center"/>
          </w:tcPr>
          <w:p>
            <w:pPr>
              <w:pStyle w:val="6"/>
              <w:spacing w:line="400" w:lineRule="exact"/>
              <w:jc w:val="center"/>
              <w:rPr>
                <w:b/>
                <w:bCs/>
                <w:spacing w:val="0"/>
                <w:kern w:val="0"/>
                <w:lang w:eastAsia="zh-CN"/>
              </w:rPr>
            </w:pPr>
            <w:r>
              <w:rPr>
                <w:rFonts w:hint="eastAsia"/>
                <w:b/>
                <w:bCs/>
                <w:spacing w:val="0"/>
                <w:kern w:val="0"/>
                <w:lang w:eastAsia="zh-CN"/>
              </w:rPr>
              <w:t>水浇地</w:t>
            </w:r>
          </w:p>
        </w:tc>
        <w:tc>
          <w:tcPr>
            <w:tcW w:w="1026" w:type="pct"/>
            <w:noWrap/>
            <w:vAlign w:val="center"/>
          </w:tcPr>
          <w:p>
            <w:pPr>
              <w:pStyle w:val="6"/>
              <w:spacing w:line="400" w:lineRule="exact"/>
              <w:jc w:val="center"/>
              <w:rPr>
                <w:b/>
                <w:bCs/>
                <w:spacing w:val="0"/>
                <w:kern w:val="0"/>
                <w:lang w:eastAsia="zh-CN"/>
              </w:rPr>
            </w:pPr>
            <w:r>
              <w:rPr>
                <w:rFonts w:hint="eastAsia"/>
                <w:b/>
                <w:bCs/>
                <w:spacing w:val="0"/>
                <w:kern w:val="0"/>
                <w:lang w:eastAsia="zh-CN"/>
              </w:rPr>
              <w:t>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白沙街道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181.95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19.5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125.25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陈大镇</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6340.05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5767.05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126.3</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城关街道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194.1</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24.45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0.9</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168.75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富兴堡街道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550.8</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177</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333.45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荆西堡街道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796.95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343.2</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384.75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列东街道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208.8</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14.7</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17.85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列西街道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1149.75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557.55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132.3</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莘口镇</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9698.85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7741.95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1314.45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642.45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徐碧街道</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1816.65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1577.7</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234.45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岩前镇</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22599.15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21561</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311.55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洋溪镇</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8323.2</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7136.85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1002.3</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中村乡</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15503.4</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14701.95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55.95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3" w:type="pct"/>
            <w:noWrap/>
            <w:vAlign w:val="center"/>
          </w:tcPr>
          <w:p>
            <w:pPr>
              <w:pStyle w:val="6"/>
              <w:jc w:val="center"/>
              <w:rPr>
                <w:kern w:val="0"/>
                <w:lang w:eastAsia="zh-CN"/>
              </w:rPr>
            </w:pPr>
            <w:r>
              <w:rPr>
                <w:rFonts w:hint="eastAsia"/>
                <w:kern w:val="0"/>
                <w:lang w:eastAsia="zh-CN"/>
              </w:rPr>
              <w:t>总计</w:t>
            </w:r>
          </w:p>
        </w:tc>
        <w:tc>
          <w:tcPr>
            <w:tcW w:w="928"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67363.65</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59622.9</w:t>
            </w:r>
          </w:p>
        </w:tc>
        <w:tc>
          <w:tcPr>
            <w:tcW w:w="1025"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3809.55</w:t>
            </w:r>
          </w:p>
        </w:tc>
        <w:tc>
          <w:tcPr>
            <w:tcW w:w="1026" w:type="pct"/>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3930.9</w:t>
            </w:r>
          </w:p>
        </w:tc>
      </w:tr>
    </w:tbl>
    <w:p>
      <w:pPr>
        <w:spacing w:line="240" w:lineRule="auto"/>
        <w:ind w:firstLine="0" w:firstLineChars="0"/>
        <w:jc w:val="center"/>
      </w:pPr>
    </w:p>
    <w:p>
      <w:pPr>
        <w:spacing w:line="240" w:lineRule="auto"/>
        <w:ind w:firstLine="0" w:firstLineChars="0"/>
        <w:jc w:val="center"/>
        <w:rPr>
          <w:b/>
          <w:bCs/>
        </w:rPr>
      </w:pPr>
      <w:r>
        <w:rPr>
          <w:b/>
          <w:bCs/>
        </w:rPr>
        <w:t>表</w:t>
      </w:r>
      <w:r>
        <w:rPr>
          <w:rFonts w:hint="eastAsia"/>
          <w:b/>
          <w:bCs/>
        </w:rPr>
        <w:t>4-2 全区各乡镇高标准农田建设任务规划表</w:t>
      </w:r>
    </w:p>
    <w:p>
      <w:pPr>
        <w:spacing w:line="240" w:lineRule="auto"/>
        <w:ind w:firstLine="632"/>
        <w:jc w:val="right"/>
        <w:rPr>
          <w:b/>
          <w:bCs/>
        </w:rPr>
      </w:pPr>
      <w:r>
        <w:rPr>
          <w:rFonts w:hint="eastAsia"/>
        </w:rPr>
        <w:t>单位：亩</w:t>
      </w:r>
    </w:p>
    <w:tbl>
      <w:tblPr>
        <w:tblStyle w:val="1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1"/>
        <w:gridCol w:w="1205"/>
        <w:gridCol w:w="1081"/>
        <w:gridCol w:w="1260"/>
        <w:gridCol w:w="1120"/>
        <w:gridCol w:w="1080"/>
        <w:gridCol w:w="12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2" w:hRule="atLeast"/>
          <w:tblHeader/>
        </w:trPr>
        <w:tc>
          <w:tcPr>
            <w:tcW w:w="780" w:type="pct"/>
            <w:vMerge w:val="restart"/>
            <w:tcBorders>
              <w:top w:val="single" w:color="auto" w:sz="4" w:space="0"/>
              <w:left w:val="single" w:color="auto" w:sz="4" w:space="0"/>
            </w:tcBorders>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镇、乡</w:t>
            </w:r>
          </w:p>
        </w:tc>
        <w:tc>
          <w:tcPr>
            <w:tcW w:w="2125" w:type="pct"/>
            <w:gridSpan w:val="3"/>
            <w:tcBorders>
              <w:top w:val="single" w:color="auto" w:sz="4" w:space="0"/>
            </w:tcBorders>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2093" w:type="pct"/>
            <w:gridSpan w:val="3"/>
            <w:tcBorders>
              <w:top w:val="single" w:color="auto" w:sz="4" w:space="0"/>
              <w:right w:val="single" w:color="auto" w:sz="4" w:space="0"/>
            </w:tcBorders>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tblHeader/>
        </w:trPr>
        <w:tc>
          <w:tcPr>
            <w:tcW w:w="780" w:type="pct"/>
            <w:vMerge w:val="continue"/>
            <w:tcBorders>
              <w:left w:val="single" w:color="auto" w:sz="4" w:space="0"/>
            </w:tcBorders>
            <w:noWrap/>
            <w:tcMar>
              <w:top w:w="15" w:type="dxa"/>
              <w:left w:w="15" w:type="dxa"/>
              <w:right w:w="15" w:type="dxa"/>
            </w:tcMar>
            <w:vAlign w:val="center"/>
          </w:tcPr>
          <w:p>
            <w:pPr>
              <w:pStyle w:val="6"/>
              <w:spacing w:line="400" w:lineRule="exact"/>
              <w:jc w:val="center"/>
              <w:rPr>
                <w:b/>
                <w:bCs/>
                <w:spacing w:val="0"/>
                <w:kern w:val="0"/>
                <w:lang w:eastAsia="zh-CN"/>
              </w:rPr>
            </w:pPr>
          </w:p>
        </w:tc>
        <w:tc>
          <w:tcPr>
            <w:tcW w:w="722" w:type="pct"/>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48" w:type="pct"/>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754" w:type="pct"/>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新增高效节水灌溉面积</w:t>
            </w:r>
          </w:p>
        </w:tc>
        <w:tc>
          <w:tcPr>
            <w:tcW w:w="672" w:type="pct"/>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48" w:type="pct"/>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771" w:type="pct"/>
            <w:tcBorders>
              <w:right w:val="single" w:color="auto" w:sz="4" w:space="0"/>
            </w:tcBorders>
            <w:noWrap/>
            <w:tcMar>
              <w:top w:w="15" w:type="dxa"/>
              <w:left w:w="15" w:type="dxa"/>
              <w:right w:w="15" w:type="dxa"/>
            </w:tcMar>
            <w:vAlign w:val="center"/>
          </w:tcPr>
          <w:p>
            <w:pPr>
              <w:pStyle w:val="6"/>
              <w:spacing w:line="400" w:lineRule="exact"/>
              <w:jc w:val="center"/>
              <w:rPr>
                <w:b/>
                <w:bCs/>
                <w:spacing w:val="0"/>
                <w:kern w:val="0"/>
                <w:lang w:eastAsia="zh-CN"/>
              </w:rPr>
            </w:pPr>
            <w:r>
              <w:rPr>
                <w:rFonts w:hint="eastAsia"/>
                <w:b/>
                <w:bCs/>
                <w:spacing w:val="0"/>
                <w:kern w:val="0"/>
                <w:lang w:eastAsia="zh-CN"/>
              </w:rPr>
              <w:t>新增高效节水灌溉面积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rFonts w:hint="eastAsia"/>
                <w:lang w:eastAsia="zh-CN"/>
              </w:rPr>
              <w:t>陈大镇</w:t>
            </w:r>
          </w:p>
        </w:tc>
        <w:tc>
          <w:tcPr>
            <w:tcW w:w="7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5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67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1600</w:t>
            </w:r>
          </w:p>
        </w:tc>
        <w:tc>
          <w:tcPr>
            <w:tcW w:w="771" w:type="pct"/>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rFonts w:hint="eastAsia"/>
                <w:lang w:eastAsia="zh-CN"/>
              </w:rPr>
              <w:t>岩前镇</w:t>
            </w:r>
          </w:p>
        </w:tc>
        <w:tc>
          <w:tcPr>
            <w:tcW w:w="7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2620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8400</w:t>
            </w:r>
          </w:p>
        </w:tc>
        <w:tc>
          <w:tcPr>
            <w:tcW w:w="75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2620</w:t>
            </w:r>
          </w:p>
        </w:tc>
        <w:tc>
          <w:tcPr>
            <w:tcW w:w="67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4200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1520</w:t>
            </w:r>
          </w:p>
        </w:tc>
        <w:tc>
          <w:tcPr>
            <w:tcW w:w="771" w:type="pct"/>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rFonts w:hint="eastAsia"/>
                <w:kern w:val="0"/>
                <w:lang w:eastAsia="zh-CN"/>
              </w:rPr>
              <w:t>莘口镇</w:t>
            </w:r>
          </w:p>
        </w:tc>
        <w:tc>
          <w:tcPr>
            <w:tcW w:w="722" w:type="pct"/>
            <w:noWrap/>
            <w:tcMar>
              <w:top w:w="15" w:type="dxa"/>
              <w:left w:w="15" w:type="dxa"/>
              <w:right w:w="15" w:type="dxa"/>
            </w:tcMar>
            <w:vAlign w:val="center"/>
          </w:tcPr>
          <w:p>
            <w:pPr>
              <w:pStyle w:val="6"/>
              <w:jc w:val="center"/>
              <w:rPr>
                <w:rFonts w:ascii="Times New Roman" w:hAnsi="Times New Roman" w:cs="Times New Roman"/>
                <w:kern w:val="0"/>
                <w:lang w:eastAsia="zh-CN"/>
              </w:rPr>
            </w:pPr>
            <w:r>
              <w:rPr>
                <w:rFonts w:hint="eastAsia" w:ascii="Times New Roman" w:hAnsi="Times New Roman" w:cs="Times New Roman"/>
                <w:kern w:val="0"/>
                <w:lang w:eastAsia="zh-CN"/>
              </w:rPr>
              <w:t>2150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75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2150</w:t>
            </w:r>
          </w:p>
        </w:tc>
        <w:tc>
          <w:tcPr>
            <w:tcW w:w="67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770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470</w:t>
            </w:r>
          </w:p>
        </w:tc>
        <w:tc>
          <w:tcPr>
            <w:tcW w:w="771" w:type="pct"/>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rFonts w:hint="eastAsia"/>
                <w:lang w:eastAsia="zh-CN"/>
              </w:rPr>
              <w:t>中村乡</w:t>
            </w:r>
          </w:p>
        </w:tc>
        <w:tc>
          <w:tcPr>
            <w:tcW w:w="7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600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1400</w:t>
            </w:r>
          </w:p>
        </w:tc>
        <w:tc>
          <w:tcPr>
            <w:tcW w:w="75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600</w:t>
            </w:r>
          </w:p>
        </w:tc>
        <w:tc>
          <w:tcPr>
            <w:tcW w:w="67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7220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1750</w:t>
            </w:r>
          </w:p>
        </w:tc>
        <w:tc>
          <w:tcPr>
            <w:tcW w:w="771" w:type="pct"/>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rFonts w:hint="eastAsia"/>
                <w:lang w:eastAsia="zh-CN"/>
              </w:rPr>
              <w:t>洋溪镇</w:t>
            </w:r>
          </w:p>
        </w:tc>
        <w:tc>
          <w:tcPr>
            <w:tcW w:w="7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5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3000</w:t>
            </w:r>
          </w:p>
        </w:tc>
        <w:tc>
          <w:tcPr>
            <w:tcW w:w="67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650</w:t>
            </w:r>
          </w:p>
        </w:tc>
        <w:tc>
          <w:tcPr>
            <w:tcW w:w="771" w:type="pct"/>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rFonts w:hint="eastAsia"/>
                <w:lang w:eastAsia="zh-CN"/>
              </w:rPr>
              <w:t>徐碧街道</w:t>
            </w:r>
          </w:p>
        </w:tc>
        <w:tc>
          <w:tcPr>
            <w:tcW w:w="72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5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2"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w:t>
            </w:r>
          </w:p>
        </w:tc>
        <w:tc>
          <w:tcPr>
            <w:tcW w:w="648"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71" w:type="pct"/>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4" w:hRule="atLeast"/>
        </w:trPr>
        <w:tc>
          <w:tcPr>
            <w:tcW w:w="780" w:type="pct"/>
            <w:tcBorders>
              <w:left w:val="single" w:color="auto" w:sz="4" w:space="0"/>
            </w:tcBorders>
            <w:noWrap/>
            <w:tcMar>
              <w:top w:w="15" w:type="dxa"/>
              <w:left w:w="15" w:type="dxa"/>
              <w:right w:w="15" w:type="dxa"/>
            </w:tcMar>
            <w:vAlign w:val="center"/>
          </w:tcPr>
          <w:p>
            <w:pPr>
              <w:pStyle w:val="6"/>
              <w:jc w:val="center"/>
              <w:rPr>
                <w:lang w:eastAsia="zh-CN"/>
              </w:rPr>
            </w:pPr>
            <w:r>
              <w:rPr>
                <w:kern w:val="0"/>
              </w:rPr>
              <w:t>合计</w:t>
            </w:r>
          </w:p>
        </w:tc>
        <w:tc>
          <w:tcPr>
            <w:tcW w:w="1335" w:type="dxa"/>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9270</w:t>
            </w:r>
          </w:p>
        </w:tc>
        <w:tc>
          <w:tcPr>
            <w:tcW w:w="1200" w:type="dxa"/>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10700</w:t>
            </w:r>
          </w:p>
        </w:tc>
        <w:tc>
          <w:tcPr>
            <w:tcW w:w="1395" w:type="dxa"/>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9270</w:t>
            </w:r>
          </w:p>
        </w:tc>
        <w:tc>
          <w:tcPr>
            <w:tcW w:w="1244" w:type="dxa"/>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13340</w:t>
            </w:r>
          </w:p>
        </w:tc>
        <w:tc>
          <w:tcPr>
            <w:tcW w:w="1200" w:type="dxa"/>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5990</w:t>
            </w:r>
          </w:p>
        </w:tc>
        <w:tc>
          <w:tcPr>
            <w:tcW w:w="1427" w:type="dxa"/>
            <w:tcBorders>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94" w:hRule="atLeast"/>
        </w:trPr>
        <w:tc>
          <w:tcPr>
            <w:tcW w:w="780" w:type="pct"/>
            <w:tcBorders>
              <w:left w:val="single" w:color="auto" w:sz="4" w:space="0"/>
              <w:bottom w:val="single" w:color="auto" w:sz="4" w:space="0"/>
            </w:tcBorders>
            <w:noWrap/>
            <w:tcMar>
              <w:top w:w="15" w:type="dxa"/>
              <w:left w:w="15" w:type="dxa"/>
              <w:right w:w="15" w:type="dxa"/>
            </w:tcMar>
            <w:vAlign w:val="center"/>
          </w:tcPr>
          <w:p>
            <w:pPr>
              <w:pStyle w:val="6"/>
              <w:jc w:val="center"/>
              <w:rPr>
                <w:kern w:val="0"/>
                <w:lang w:eastAsia="zh-CN"/>
              </w:rPr>
            </w:pPr>
            <w:r>
              <w:rPr>
                <w:rFonts w:hint="eastAsia"/>
                <w:kern w:val="0"/>
                <w:lang w:eastAsia="zh-CN"/>
              </w:rPr>
              <w:t>市局指标</w:t>
            </w:r>
          </w:p>
        </w:tc>
        <w:tc>
          <w:tcPr>
            <w:tcW w:w="722" w:type="pct"/>
            <w:tcBorders>
              <w:bottom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6500</w:t>
            </w:r>
          </w:p>
        </w:tc>
        <w:tc>
          <w:tcPr>
            <w:tcW w:w="648" w:type="pct"/>
            <w:tcBorders>
              <w:bottom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10000</w:t>
            </w:r>
          </w:p>
        </w:tc>
        <w:tc>
          <w:tcPr>
            <w:tcW w:w="754" w:type="pct"/>
            <w:tcBorders>
              <w:bottom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6500</w:t>
            </w:r>
          </w:p>
        </w:tc>
        <w:tc>
          <w:tcPr>
            <w:tcW w:w="672" w:type="pct"/>
            <w:tcBorders>
              <w:bottom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13000</w:t>
            </w:r>
          </w:p>
        </w:tc>
        <w:tc>
          <w:tcPr>
            <w:tcW w:w="648" w:type="pct"/>
            <w:tcBorders>
              <w:bottom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5000</w:t>
            </w:r>
          </w:p>
        </w:tc>
        <w:tc>
          <w:tcPr>
            <w:tcW w:w="771" w:type="pct"/>
            <w:tcBorders>
              <w:bottom w:val="single" w:color="auto" w:sz="4" w:space="0"/>
              <w:right w:val="single" w:color="auto" w:sz="4" w:space="0"/>
            </w:tcBorders>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4000</w:t>
            </w:r>
          </w:p>
        </w:tc>
      </w:tr>
    </w:tbl>
    <w:p>
      <w:pPr>
        <w:ind w:firstLine="632"/>
        <w:jc w:val="center"/>
      </w:pPr>
    </w:p>
    <w:p>
      <w:pPr>
        <w:pStyle w:val="5"/>
        <w:spacing w:before="93" w:after="93"/>
        <w:rPr>
          <w:kern w:val="0"/>
          <w:lang w:eastAsia="zh-CN"/>
        </w:rPr>
      </w:pPr>
      <w:bookmarkStart w:id="157" w:name="_Toc9782"/>
      <w:bookmarkStart w:id="158" w:name="_Toc13205"/>
      <w:r>
        <w:rPr>
          <w:kern w:val="0"/>
        </w:rPr>
        <w:t>第</w:t>
      </w:r>
      <w:r>
        <w:rPr>
          <w:rFonts w:hint="eastAsia"/>
          <w:kern w:val="0"/>
          <w:lang w:eastAsia="zh-CN"/>
        </w:rPr>
        <w:t>四</w:t>
      </w:r>
      <w:r>
        <w:rPr>
          <w:kern w:val="0"/>
        </w:rPr>
        <w:t>节</w:t>
      </w:r>
      <w:r>
        <w:rPr>
          <w:rFonts w:hint="eastAsia"/>
          <w:kern w:val="0"/>
          <w:lang w:eastAsia="zh-CN"/>
        </w:rPr>
        <w:t>各乡镇建设情况</w:t>
      </w:r>
      <w:bookmarkEnd w:id="157"/>
      <w:bookmarkEnd w:id="158"/>
    </w:p>
    <w:p>
      <w:pPr>
        <w:numPr>
          <w:ilvl w:val="0"/>
          <w:numId w:val="9"/>
        </w:numPr>
        <w:ind w:firstLine="634"/>
        <w:rPr>
          <w:b/>
          <w:bCs/>
        </w:rPr>
      </w:pPr>
      <w:r>
        <w:rPr>
          <w:rFonts w:hint="eastAsia"/>
          <w:b/>
          <w:bCs/>
        </w:rPr>
        <w:t>陈大镇</w:t>
      </w:r>
    </w:p>
    <w:p>
      <w:pPr>
        <w:ind w:firstLine="632"/>
      </w:pPr>
      <w:r>
        <w:rPr>
          <w:rFonts w:hint="eastAsia"/>
        </w:rPr>
        <w:t>陈大镇地处</w:t>
      </w:r>
      <w:r>
        <w:fldChar w:fldCharType="begin"/>
      </w:r>
      <w:r>
        <w:instrText xml:space="preserve"> HYPERLINK "https://baike.baidu.com/item/%E4%B8%89%E5%85%83%E5%8C%BA/4184020" \t "https://baike.baidu.com/item/%E9%99%88%E5%A4%A7%E9%95%87/_blank" </w:instrText>
      </w:r>
      <w:r>
        <w:fldChar w:fldCharType="separate"/>
      </w:r>
      <w:r>
        <w:rPr>
          <w:rFonts w:hint="eastAsia"/>
        </w:rPr>
        <w:t>三元区</w:t>
      </w:r>
      <w:r>
        <w:rPr>
          <w:rFonts w:hint="eastAsia"/>
        </w:rPr>
        <w:fldChar w:fldCharType="end"/>
      </w:r>
      <w:r>
        <w:rPr>
          <w:rFonts w:hint="eastAsia"/>
        </w:rPr>
        <w:t>西北部，区域总面积177.64平方千米，镇人民政府驻碧玉路40幢。辖瑞云社区、陈墩村、大源村、棕南村、长溪村、碧溪村、砂蕉村、渔溪村、台溪村1个社区、8个行政村。2022年陈大镇耕地总面积6340.05亩，2021年以前已建高标准农田3355.00亩，剩余耕地面积2985.05亩；本次规划2021年-2025年陈大镇新建高标准农田900亩，新增高效节水灌溉面积900亩；规划2026年-2030年陈大镇新建高标准农田350亩，改造提升高标准农田1600亩，新增高效节水灌溉面积350亩。</w:t>
      </w:r>
    </w:p>
    <w:p>
      <w:pPr>
        <w:pStyle w:val="2"/>
        <w:spacing w:line="240" w:lineRule="auto"/>
        <w:ind w:left="0" w:leftChars="0" w:firstLine="0" w:firstLineChars="0"/>
        <w:jc w:val="center"/>
        <w:rPr>
          <w:b/>
          <w:bCs/>
        </w:rPr>
      </w:pPr>
      <w:r>
        <w:rPr>
          <w:b/>
          <w:bCs/>
        </w:rPr>
        <w:t>表</w:t>
      </w:r>
      <w:r>
        <w:rPr>
          <w:rFonts w:hint="eastAsia"/>
          <w:b/>
          <w:bCs/>
        </w:rPr>
        <w:t>4-3 陈大镇规划汇总表</w:t>
      </w:r>
    </w:p>
    <w:p>
      <w:pPr>
        <w:spacing w:line="240" w:lineRule="auto"/>
        <w:ind w:firstLine="632"/>
        <w:jc w:val="right"/>
        <w:rPr>
          <w:b/>
          <w:bCs/>
        </w:rPr>
      </w:pPr>
      <w:r>
        <w:rPr>
          <w:rFonts w:hint="eastAsia"/>
        </w:rPr>
        <w:t>单位：亩</w:t>
      </w:r>
    </w:p>
    <w:tbl>
      <w:tblPr>
        <w:tblStyle w:val="12"/>
        <w:tblW w:w="5000" w:type="pct"/>
        <w:tblInd w:w="0" w:type="dxa"/>
        <w:tblLayout w:type="autofit"/>
        <w:tblCellMar>
          <w:top w:w="0" w:type="dxa"/>
          <w:left w:w="108" w:type="dxa"/>
          <w:bottom w:w="0" w:type="dxa"/>
          <w:right w:w="108" w:type="dxa"/>
        </w:tblCellMar>
      </w:tblPr>
      <w:tblGrid>
        <w:gridCol w:w="494"/>
        <w:gridCol w:w="630"/>
        <w:gridCol w:w="1187"/>
        <w:gridCol w:w="1464"/>
        <w:gridCol w:w="1048"/>
        <w:gridCol w:w="1187"/>
        <w:gridCol w:w="1464"/>
        <w:gridCol w:w="1048"/>
      </w:tblGrid>
      <w:tr>
        <w:tblPrEx>
          <w:tblCellMar>
            <w:top w:w="0" w:type="dxa"/>
            <w:left w:w="108" w:type="dxa"/>
            <w:bottom w:w="0" w:type="dxa"/>
            <w:right w:w="108" w:type="dxa"/>
          </w:tblCellMar>
        </w:tblPrEx>
        <w:trPr>
          <w:trHeight w:val="620" w:hRule="atLeast"/>
        </w:trPr>
        <w:tc>
          <w:tcPr>
            <w:tcW w:w="622" w:type="pct"/>
            <w:vMerge w:val="restar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684" w:type="pct"/>
            <w:vMerge w:val="restar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828" w:type="pct"/>
            <w:gridSpan w:val="3"/>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1864" w:type="pct"/>
            <w:gridSpan w:val="3"/>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CellMar>
            <w:top w:w="0" w:type="dxa"/>
            <w:left w:w="108" w:type="dxa"/>
            <w:bottom w:w="0" w:type="dxa"/>
            <w:right w:w="108" w:type="dxa"/>
          </w:tblCellMar>
        </w:tblPrEx>
        <w:trPr>
          <w:trHeight w:val="900" w:hRule="atLeast"/>
        </w:trPr>
        <w:tc>
          <w:tcPr>
            <w:tcW w:w="622" w:type="pct"/>
            <w:vMerge w:val="continue"/>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p>
        </w:tc>
        <w:tc>
          <w:tcPr>
            <w:tcW w:w="684" w:type="pct"/>
            <w:vMerge w:val="continue"/>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r>
      <w:tr>
        <w:tblPrEx>
          <w:tblCellMar>
            <w:top w:w="0" w:type="dxa"/>
            <w:left w:w="108" w:type="dxa"/>
            <w:bottom w:w="0" w:type="dxa"/>
            <w:right w:w="108" w:type="dxa"/>
          </w:tblCellMar>
        </w:tblPrEx>
        <w:trPr>
          <w:trHeight w:val="500" w:hRule="atLeast"/>
        </w:trPr>
        <w:tc>
          <w:tcPr>
            <w:tcW w:w="622"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w:t>
            </w:r>
          </w:p>
        </w:tc>
        <w:tc>
          <w:tcPr>
            <w:tcW w:w="68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碧溪村</w:t>
            </w: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870</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r>
      <w:tr>
        <w:tblPrEx>
          <w:tblCellMar>
            <w:top w:w="0" w:type="dxa"/>
            <w:left w:w="108" w:type="dxa"/>
            <w:bottom w:w="0" w:type="dxa"/>
            <w:right w:w="108" w:type="dxa"/>
          </w:tblCellMar>
        </w:tblPrEx>
        <w:trPr>
          <w:trHeight w:val="500" w:hRule="atLeast"/>
        </w:trPr>
        <w:tc>
          <w:tcPr>
            <w:tcW w:w="622"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w:t>
            </w:r>
          </w:p>
        </w:tc>
        <w:tc>
          <w:tcPr>
            <w:tcW w:w="68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砂蕉村</w:t>
            </w: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22"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w:t>
            </w:r>
          </w:p>
        </w:tc>
        <w:tc>
          <w:tcPr>
            <w:tcW w:w="68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台溪村</w:t>
            </w: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22"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w:t>
            </w:r>
          </w:p>
        </w:tc>
        <w:tc>
          <w:tcPr>
            <w:tcW w:w="68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渔溪村</w:t>
            </w: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730</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22"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w:t>
            </w:r>
          </w:p>
        </w:tc>
        <w:tc>
          <w:tcPr>
            <w:tcW w:w="68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长溪村</w:t>
            </w: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22"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合计</w:t>
            </w:r>
          </w:p>
        </w:tc>
        <w:tc>
          <w:tcPr>
            <w:tcW w:w="684"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spacing w:val="0"/>
                <w:kern w:val="0"/>
                <w:lang w:eastAsia="zh-CN"/>
              </w:rPr>
            </w:pPr>
            <w:r>
              <w:rPr>
                <w:rFonts w:hint="eastAsia"/>
                <w:spacing w:val="0"/>
                <w:kern w:val="0"/>
                <w:lang w:eastAsia="zh-CN"/>
              </w:rPr>
              <w:t>/</w:t>
            </w:r>
          </w:p>
        </w:tc>
        <w:tc>
          <w:tcPr>
            <w:tcW w:w="64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660"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2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6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c>
          <w:tcPr>
            <w:tcW w:w="63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1600</w:t>
            </w:r>
          </w:p>
        </w:tc>
        <w:tc>
          <w:tcPr>
            <w:tcW w:w="56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r>
    </w:tbl>
    <w:p>
      <w:pPr>
        <w:ind w:firstLine="0" w:firstLineChars="0"/>
        <w:rPr>
          <w:b/>
          <w:bCs/>
        </w:rPr>
      </w:pPr>
    </w:p>
    <w:p>
      <w:pPr>
        <w:numPr>
          <w:ilvl w:val="0"/>
          <w:numId w:val="9"/>
        </w:numPr>
        <w:ind w:firstLine="634"/>
        <w:rPr>
          <w:b/>
          <w:bCs/>
        </w:rPr>
      </w:pPr>
      <w:r>
        <w:rPr>
          <w:rFonts w:hint="eastAsia"/>
          <w:b/>
          <w:bCs/>
        </w:rPr>
        <w:t>岩前镇</w:t>
      </w:r>
    </w:p>
    <w:p>
      <w:pPr>
        <w:ind w:firstLine="632"/>
      </w:pPr>
      <w:r>
        <w:rPr>
          <w:rFonts w:hint="eastAsia"/>
        </w:rPr>
        <w:t>岩前镇地处三元区西北部，区域总面积274.43平方千米，镇人民政府驻岩前村。辖阳岩社区、吉口社区、岩前村、吉口村、乌龙村、下寨村、星桥村、欧坑村、增坊村、白叶坑村、眉山村、富源村、忠山村、横坑村2个社区、12个行政村。2022年岩前镇耕地总面积22599.15亩，2021年以前已建高标准农田12575.38亩，剩余耕地面积10023.77亩；本次规划2021年-2025年岩前镇新建高标准农田2620亩，改造提升高标准农田8400亩，新增高效节水灌溉面积2620亩；规划2026年-2030年岩前镇新建高标准农田4200亩，改造提升高标准农田1520亩，新增高效节水灌溉面积4200亩。</w:t>
      </w:r>
    </w:p>
    <w:p>
      <w:pPr>
        <w:pStyle w:val="2"/>
        <w:spacing w:line="240" w:lineRule="auto"/>
        <w:ind w:left="0" w:leftChars="0" w:firstLine="0" w:firstLineChars="0"/>
        <w:jc w:val="center"/>
        <w:rPr>
          <w:b/>
          <w:bCs/>
        </w:rPr>
      </w:pPr>
      <w:r>
        <w:rPr>
          <w:b/>
          <w:bCs/>
        </w:rPr>
        <w:t>表</w:t>
      </w:r>
      <w:r>
        <w:rPr>
          <w:rFonts w:hint="eastAsia"/>
          <w:b/>
          <w:bCs/>
        </w:rPr>
        <w:t>4-4 岩前镇规划汇总表</w:t>
      </w:r>
    </w:p>
    <w:p>
      <w:pPr>
        <w:spacing w:line="240" w:lineRule="auto"/>
        <w:ind w:firstLine="632"/>
        <w:jc w:val="right"/>
        <w:rPr>
          <w:b/>
          <w:bCs/>
        </w:rPr>
      </w:pPr>
      <w:r>
        <w:rPr>
          <w:rFonts w:hint="eastAsia"/>
        </w:rPr>
        <w:t>单位：亩</w:t>
      </w:r>
    </w:p>
    <w:tbl>
      <w:tblPr>
        <w:tblStyle w:val="12"/>
        <w:tblW w:w="4997" w:type="pct"/>
        <w:tblInd w:w="0" w:type="dxa"/>
        <w:tblLayout w:type="fixed"/>
        <w:tblCellMar>
          <w:top w:w="0" w:type="dxa"/>
          <w:left w:w="108" w:type="dxa"/>
          <w:bottom w:w="0" w:type="dxa"/>
          <w:right w:w="108" w:type="dxa"/>
        </w:tblCellMar>
      </w:tblPr>
      <w:tblGrid>
        <w:gridCol w:w="812"/>
        <w:gridCol w:w="1250"/>
        <w:gridCol w:w="1116"/>
        <w:gridCol w:w="1300"/>
        <w:gridCol w:w="983"/>
        <w:gridCol w:w="1066"/>
        <w:gridCol w:w="1082"/>
        <w:gridCol w:w="908"/>
      </w:tblGrid>
      <w:tr>
        <w:tblPrEx>
          <w:tblCellMar>
            <w:top w:w="0" w:type="dxa"/>
            <w:left w:w="108" w:type="dxa"/>
            <w:bottom w:w="0" w:type="dxa"/>
            <w:right w:w="108" w:type="dxa"/>
          </w:tblCellMar>
        </w:tblPrEx>
        <w:trPr>
          <w:trHeight w:val="23" w:hRule="atLeast"/>
          <w:tblHeader/>
        </w:trPr>
        <w:tc>
          <w:tcPr>
            <w:tcW w:w="476"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733"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995"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1794"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CellMar>
            <w:top w:w="0" w:type="dxa"/>
            <w:left w:w="108" w:type="dxa"/>
            <w:bottom w:w="0" w:type="dxa"/>
            <w:right w:w="108" w:type="dxa"/>
          </w:tblCellMar>
        </w:tblPrEx>
        <w:trPr>
          <w:trHeight w:val="23" w:hRule="atLeast"/>
          <w:tblHeader/>
        </w:trPr>
        <w:tc>
          <w:tcPr>
            <w:tcW w:w="476"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733"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忠山村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2000</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550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550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富源村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472.57</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1400</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472.57</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欧坑村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253.77</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1500</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253.77</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乌龙村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120.54</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120.54</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530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860</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530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增坊村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660</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下寨村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1000</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眉山村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520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520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星桥村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932.22</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2500</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932.22</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690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690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横坑村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白叶坑村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241.79</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241.79</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吉口村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599.11</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599.11</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460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460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岩前村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750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750</w:t>
            </w:r>
          </w:p>
        </w:tc>
      </w:tr>
      <w:tr>
        <w:tblPrEx>
          <w:tblCellMar>
            <w:top w:w="0" w:type="dxa"/>
            <w:left w:w="108" w:type="dxa"/>
            <w:bottom w:w="0" w:type="dxa"/>
            <w:right w:w="108" w:type="dxa"/>
          </w:tblCellMar>
        </w:tblPrEx>
        <w:trPr>
          <w:trHeight w:val="23" w:hRule="atLeast"/>
        </w:trPr>
        <w:tc>
          <w:tcPr>
            <w:tcW w:w="47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合计</w:t>
            </w:r>
          </w:p>
        </w:tc>
        <w:tc>
          <w:tcPr>
            <w:tcW w:w="73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lang w:eastAsia="zh-CN"/>
              </w:rPr>
            </w:pPr>
            <w:r>
              <w:rPr>
                <w:rFonts w:hint="eastAsia"/>
                <w:lang w:eastAsia="zh-CN"/>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2620</w:t>
            </w:r>
          </w:p>
        </w:tc>
        <w:tc>
          <w:tcPr>
            <w:tcW w:w="76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8400</w:t>
            </w:r>
          </w:p>
        </w:tc>
        <w:tc>
          <w:tcPr>
            <w:tcW w:w="57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2620</w:t>
            </w:r>
          </w:p>
        </w:tc>
        <w:tc>
          <w:tcPr>
            <w:tcW w:w="626"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4200</w:t>
            </w:r>
          </w:p>
        </w:tc>
        <w:tc>
          <w:tcPr>
            <w:tcW w:w="63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1520</w:t>
            </w:r>
          </w:p>
        </w:tc>
        <w:tc>
          <w:tcPr>
            <w:tcW w:w="53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4200</w:t>
            </w:r>
          </w:p>
        </w:tc>
      </w:tr>
    </w:tbl>
    <w:p>
      <w:pPr>
        <w:pStyle w:val="2"/>
        <w:ind w:left="632" w:firstLine="632"/>
      </w:pPr>
    </w:p>
    <w:p>
      <w:pPr>
        <w:numPr>
          <w:ilvl w:val="0"/>
          <w:numId w:val="9"/>
        </w:numPr>
        <w:ind w:firstLine="634"/>
        <w:rPr>
          <w:b/>
          <w:bCs/>
        </w:rPr>
      </w:pPr>
      <w:r>
        <w:rPr>
          <w:rFonts w:hint="eastAsia"/>
          <w:b/>
          <w:bCs/>
        </w:rPr>
        <w:t>莘口镇</w:t>
      </w:r>
    </w:p>
    <w:p>
      <w:pPr>
        <w:ind w:firstLine="632"/>
      </w:pPr>
      <w:r>
        <w:rPr>
          <w:rFonts w:hint="eastAsia"/>
        </w:rPr>
        <w:t>莘口镇</w:t>
      </w:r>
      <w:r>
        <w:t>地处</w:t>
      </w:r>
      <w:r>
        <w:fldChar w:fldCharType="begin"/>
      </w:r>
      <w:r>
        <w:instrText xml:space="preserve"> HYPERLINK "https://baike.baidu.com/item/%E4%B8%89%E5%85%83%E5%8C%BA/4184020" \t "https://baike.baidu.com/item/%E8%8E%98%E5%8F%A3%E9%95%87/_blank" </w:instrText>
      </w:r>
      <w:r>
        <w:fldChar w:fldCharType="separate"/>
      </w:r>
      <w:r>
        <w:t>三元区</w:t>
      </w:r>
      <w:r>
        <w:fldChar w:fldCharType="end"/>
      </w:r>
      <w:r>
        <w:t>西南部</w:t>
      </w:r>
      <w:r>
        <w:rPr>
          <w:rFonts w:hint="eastAsia"/>
        </w:rPr>
        <w:t>，</w:t>
      </w:r>
      <w:r>
        <w:t>区域总面积236.87平方千米</w:t>
      </w:r>
      <w:r>
        <w:rPr>
          <w:rFonts w:hint="eastAsia"/>
        </w:rPr>
        <w:t>，</w:t>
      </w:r>
      <w:r>
        <w:t>镇人民政府驻莘口村。辖杉口社区、溪口社区、莘口村、沙阳村、黄砂村、曹源村、楼源村、西际村、柳城村、高山村、龙泉村、后溪村、炉洋村、蓬坑村、清溪村、中央溪村2个社区、14个行政村</w:t>
      </w:r>
      <w:r>
        <w:rPr>
          <w:rFonts w:hint="eastAsia"/>
        </w:rPr>
        <w:t>。2022年莘口镇耕地总面积9698.85亩，2021年以前已建高标准农田5039.50亩，剩余耕地面积4659.35亩。本次规划2021年-2025年莘口镇新建高标准农田2150亩，改造提升高标准农田900亩，新增高效节水灌溉面积2150亩；规划2026年-2030年莘口镇新建高标准农田770亩，改造提升高标准农田470亩，新增高效节水灌溉面积770亩。</w:t>
      </w:r>
    </w:p>
    <w:p>
      <w:pPr>
        <w:pStyle w:val="2"/>
        <w:ind w:left="632" w:firstLine="632"/>
      </w:pPr>
    </w:p>
    <w:p>
      <w:pPr>
        <w:pStyle w:val="2"/>
        <w:ind w:left="632" w:firstLine="632"/>
      </w:pPr>
    </w:p>
    <w:p>
      <w:pPr>
        <w:pStyle w:val="2"/>
        <w:spacing w:line="240" w:lineRule="auto"/>
        <w:ind w:left="0" w:leftChars="0" w:firstLine="0" w:firstLineChars="0"/>
        <w:jc w:val="center"/>
      </w:pPr>
      <w:r>
        <w:rPr>
          <w:b/>
          <w:bCs/>
        </w:rPr>
        <w:t>表</w:t>
      </w:r>
      <w:r>
        <w:rPr>
          <w:rFonts w:hint="eastAsia"/>
          <w:b/>
          <w:bCs/>
        </w:rPr>
        <w:t>4-5 莘口镇规划汇总表</w:t>
      </w:r>
    </w:p>
    <w:p>
      <w:pPr>
        <w:spacing w:line="240" w:lineRule="auto"/>
        <w:ind w:firstLine="632"/>
        <w:jc w:val="right"/>
        <w:rPr>
          <w:b/>
          <w:bCs/>
        </w:rPr>
      </w:pPr>
      <w:r>
        <w:rPr>
          <w:rFonts w:hint="eastAsia"/>
        </w:rPr>
        <w:t>单位：亩</w:t>
      </w:r>
    </w:p>
    <w:tbl>
      <w:tblPr>
        <w:tblStyle w:val="12"/>
        <w:tblW w:w="4997" w:type="pct"/>
        <w:tblInd w:w="0" w:type="dxa"/>
        <w:tblLayout w:type="fixed"/>
        <w:tblCellMar>
          <w:top w:w="0" w:type="dxa"/>
          <w:left w:w="108" w:type="dxa"/>
          <w:bottom w:w="0" w:type="dxa"/>
          <w:right w:w="108" w:type="dxa"/>
        </w:tblCellMar>
      </w:tblPr>
      <w:tblGrid>
        <w:gridCol w:w="1081"/>
        <w:gridCol w:w="1113"/>
        <w:gridCol w:w="1067"/>
        <w:gridCol w:w="1100"/>
        <w:gridCol w:w="917"/>
        <w:gridCol w:w="1112"/>
        <w:gridCol w:w="1117"/>
        <w:gridCol w:w="1010"/>
      </w:tblGrid>
      <w:tr>
        <w:tblPrEx>
          <w:tblCellMar>
            <w:top w:w="0" w:type="dxa"/>
            <w:left w:w="108" w:type="dxa"/>
            <w:bottom w:w="0" w:type="dxa"/>
            <w:right w:w="108" w:type="dxa"/>
          </w:tblCellMar>
        </w:tblPrEx>
        <w:trPr>
          <w:trHeight w:val="500" w:hRule="atLeast"/>
        </w:trPr>
        <w:tc>
          <w:tcPr>
            <w:tcW w:w="634" w:type="pct"/>
            <w:vMerge w:val="restar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653" w:type="pct"/>
            <w:vMerge w:val="restar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809" w:type="pct"/>
            <w:gridSpan w:val="3"/>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1902" w:type="pct"/>
            <w:gridSpan w:val="3"/>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CellMar>
            <w:top w:w="0" w:type="dxa"/>
            <w:left w:w="108" w:type="dxa"/>
            <w:bottom w:w="0" w:type="dxa"/>
            <w:right w:w="108" w:type="dxa"/>
          </w:tblCellMar>
        </w:tblPrEx>
        <w:trPr>
          <w:trHeight w:val="900" w:hRule="atLeast"/>
        </w:trPr>
        <w:tc>
          <w:tcPr>
            <w:tcW w:w="634" w:type="pct"/>
            <w:vMerge w:val="continue"/>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p>
        </w:tc>
        <w:tc>
          <w:tcPr>
            <w:tcW w:w="653" w:type="pct"/>
            <w:vMerge w:val="continue"/>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后溪村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144</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144</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470</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楼源村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270</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270</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柳城村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505</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505</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沙阳村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清溪村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炉洋村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945</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945</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曹源村</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416</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416</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34"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合计</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lang w:eastAsia="zh-CN"/>
              </w:rPr>
            </w:pPr>
            <w:r>
              <w:rPr>
                <w:rFonts w:hint="eastAsia"/>
                <w:lang w:eastAsia="zh-CN"/>
              </w:rPr>
              <w:t>/</w:t>
            </w:r>
          </w:p>
        </w:tc>
        <w:tc>
          <w:tcPr>
            <w:tcW w:w="62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2150</w:t>
            </w:r>
          </w:p>
        </w:tc>
        <w:tc>
          <w:tcPr>
            <w:tcW w:w="645"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900</w:t>
            </w:r>
          </w:p>
        </w:tc>
        <w:tc>
          <w:tcPr>
            <w:tcW w:w="537"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2150</w:t>
            </w:r>
          </w:p>
        </w:tc>
        <w:tc>
          <w:tcPr>
            <w:tcW w:w="65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770</w:t>
            </w:r>
          </w:p>
        </w:tc>
        <w:tc>
          <w:tcPr>
            <w:tcW w:w="656"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470</w:t>
            </w:r>
          </w:p>
        </w:tc>
        <w:tc>
          <w:tcPr>
            <w:tcW w:w="593" w:type="pct"/>
            <w:tcBorders>
              <w:top w:val="single" w:color="auto" w:sz="4" w:space="0"/>
              <w:left w:val="single" w:color="auto" w:sz="4" w:space="0"/>
              <w:bottom w:val="single" w:color="auto" w:sz="4" w:space="0"/>
              <w:right w:val="single" w:color="auto"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770</w:t>
            </w:r>
          </w:p>
        </w:tc>
      </w:tr>
    </w:tbl>
    <w:p>
      <w:pPr>
        <w:ind w:firstLine="0" w:firstLineChars="0"/>
        <w:rPr>
          <w:b/>
          <w:bCs/>
        </w:rPr>
      </w:pPr>
    </w:p>
    <w:p>
      <w:pPr>
        <w:numPr>
          <w:ilvl w:val="0"/>
          <w:numId w:val="9"/>
        </w:numPr>
        <w:ind w:firstLine="634"/>
        <w:rPr>
          <w:b/>
          <w:bCs/>
        </w:rPr>
      </w:pPr>
      <w:r>
        <w:rPr>
          <w:rFonts w:hint="eastAsia"/>
          <w:b/>
          <w:bCs/>
        </w:rPr>
        <w:t>中村乡</w:t>
      </w:r>
    </w:p>
    <w:p>
      <w:pPr>
        <w:ind w:firstLine="632"/>
      </w:pPr>
      <w:r>
        <w:rPr>
          <w:rFonts w:hint="eastAsia"/>
        </w:rPr>
        <w:t>中村乡地处</w:t>
      </w:r>
      <w:r>
        <w:fldChar w:fldCharType="begin"/>
      </w:r>
      <w:r>
        <w:instrText xml:space="preserve"> HYPERLINK "https://baike.baidu.com/item/%E4%B8%89%E5%85%83%E5%8C%BA/4184020" \t "https://baike.baidu.com/item/%E4%B8%AD%E6%9D%91%E4%B9%A1/_blank" </w:instrText>
      </w:r>
      <w:r>
        <w:fldChar w:fldCharType="separate"/>
      </w:r>
      <w:r>
        <w:rPr>
          <w:rFonts w:hint="eastAsia"/>
        </w:rPr>
        <w:t>三元区</w:t>
      </w:r>
      <w:r>
        <w:rPr>
          <w:rFonts w:hint="eastAsia"/>
        </w:rPr>
        <w:fldChar w:fldCharType="end"/>
      </w:r>
      <w:r>
        <w:rPr>
          <w:rFonts w:hint="eastAsia"/>
        </w:rPr>
        <w:t>东南部，区域总面积194.44平方千米，乡人民政府驻中村村。辖思源社区、中村村、埔头城村、南坑村、居阳村、松阳村、前村、张坑村、米洋村、吉峰村、大焙坑村、蕉坑村、坑源村、顶太村、草洋村、筠竹村、杜水村、回瑶村、白水畲族村1个社区、18个行政村。2022年中村乡耕地总面积15503.40亩，2021年以前已建高标准农田4428.89亩，剩余耕地面积11074.51亩；本次规划2021年-2025年中村乡新建高标准农田600亩，改造提升高标准农田1400亩，新增高效节水灌溉面积600亩；规划2026年-2030年中村乡新建高标准农田7220亩，改造提升高标准农田1750亩，新增高效节水灌溉面积7220亩。</w:t>
      </w:r>
    </w:p>
    <w:p>
      <w:pPr>
        <w:pStyle w:val="2"/>
        <w:spacing w:line="240" w:lineRule="auto"/>
        <w:ind w:left="0" w:leftChars="0" w:firstLine="0" w:firstLineChars="0"/>
        <w:jc w:val="center"/>
        <w:rPr>
          <w:b/>
          <w:bCs/>
        </w:rPr>
      </w:pPr>
      <w:r>
        <w:rPr>
          <w:b/>
          <w:bCs/>
        </w:rPr>
        <w:t>表</w:t>
      </w:r>
      <w:r>
        <w:rPr>
          <w:rFonts w:hint="eastAsia"/>
          <w:b/>
          <w:bCs/>
        </w:rPr>
        <w:t>4-6 中村乡规划汇总表</w:t>
      </w:r>
    </w:p>
    <w:p>
      <w:pPr>
        <w:pStyle w:val="2"/>
        <w:spacing w:line="240" w:lineRule="auto"/>
        <w:ind w:left="0" w:leftChars="0" w:firstLine="0" w:firstLineChars="0"/>
        <w:jc w:val="right"/>
      </w:pPr>
      <w:r>
        <w:rPr>
          <w:rFonts w:hint="eastAsia"/>
        </w:rPr>
        <w:t>单位：亩</w:t>
      </w:r>
    </w:p>
    <w:tbl>
      <w:tblPr>
        <w:tblStyle w:val="12"/>
        <w:tblW w:w="4996" w:type="pct"/>
        <w:tblInd w:w="0" w:type="dxa"/>
        <w:tblLayout w:type="fixed"/>
        <w:tblCellMar>
          <w:top w:w="0" w:type="dxa"/>
          <w:left w:w="108" w:type="dxa"/>
          <w:bottom w:w="0" w:type="dxa"/>
          <w:right w:w="108" w:type="dxa"/>
        </w:tblCellMar>
      </w:tblPr>
      <w:tblGrid>
        <w:gridCol w:w="732"/>
        <w:gridCol w:w="1312"/>
        <w:gridCol w:w="1115"/>
        <w:gridCol w:w="1161"/>
        <w:gridCol w:w="1003"/>
        <w:gridCol w:w="1097"/>
        <w:gridCol w:w="1126"/>
        <w:gridCol w:w="969"/>
      </w:tblGrid>
      <w:tr>
        <w:tblPrEx>
          <w:tblCellMar>
            <w:top w:w="0" w:type="dxa"/>
            <w:left w:w="108" w:type="dxa"/>
            <w:bottom w:w="0" w:type="dxa"/>
            <w:right w:w="108" w:type="dxa"/>
          </w:tblCellMar>
        </w:tblPrEx>
        <w:trPr>
          <w:trHeight w:val="500" w:hRule="atLeast"/>
          <w:tblHeader/>
        </w:trPr>
        <w:tc>
          <w:tcPr>
            <w:tcW w:w="429"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770"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926"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1874"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CellMar>
            <w:top w:w="0" w:type="dxa"/>
            <w:left w:w="108" w:type="dxa"/>
            <w:bottom w:w="0" w:type="dxa"/>
            <w:right w:w="108" w:type="dxa"/>
          </w:tblCellMar>
        </w:tblPrEx>
        <w:trPr>
          <w:trHeight w:val="500" w:hRule="atLeast"/>
          <w:tblHeader/>
        </w:trPr>
        <w:tc>
          <w:tcPr>
            <w:tcW w:w="429"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770"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南坑村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1400</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筠竹村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1130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1130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前村村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670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670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松阳村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1200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1200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坑源村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330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400</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330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顶太村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230</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吉峰村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580</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米洋村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270</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杜水村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440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270</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440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草洋村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400</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400</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蕉坑村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360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360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白水村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埔头城村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230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230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中村村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805</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805</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15</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张坑村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575</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575</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16</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大焙坑村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17</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居阳村</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980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980</w:t>
            </w:r>
          </w:p>
        </w:tc>
      </w:tr>
      <w:tr>
        <w:tblPrEx>
          <w:tblCellMar>
            <w:top w:w="0" w:type="dxa"/>
            <w:left w:w="108" w:type="dxa"/>
            <w:bottom w:w="0" w:type="dxa"/>
            <w:right w:w="108" w:type="dxa"/>
          </w:tblCellMar>
        </w:tblPrEx>
        <w:trPr>
          <w:trHeight w:val="500" w:hRule="atLeast"/>
        </w:trPr>
        <w:tc>
          <w:tcPr>
            <w:tcW w:w="429"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合计</w:t>
            </w:r>
          </w:p>
        </w:tc>
        <w:tc>
          <w:tcPr>
            <w:tcW w:w="770"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600</w:t>
            </w:r>
          </w:p>
        </w:tc>
        <w:tc>
          <w:tcPr>
            <w:tcW w:w="68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1400</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600</w:t>
            </w:r>
          </w:p>
        </w:tc>
        <w:tc>
          <w:tcPr>
            <w:tcW w:w="64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7220</w:t>
            </w:r>
          </w:p>
        </w:tc>
        <w:tc>
          <w:tcPr>
            <w:tcW w:w="661"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1750</w:t>
            </w:r>
          </w:p>
        </w:tc>
        <w:tc>
          <w:tcPr>
            <w:tcW w:w="56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7220</w:t>
            </w:r>
          </w:p>
        </w:tc>
      </w:tr>
    </w:tbl>
    <w:p>
      <w:pPr>
        <w:ind w:firstLine="634"/>
        <w:rPr>
          <w:b/>
          <w:bCs/>
        </w:rPr>
      </w:pPr>
    </w:p>
    <w:p>
      <w:pPr>
        <w:ind w:firstLine="634"/>
        <w:rPr>
          <w:b/>
          <w:bCs/>
        </w:rPr>
      </w:pPr>
      <w:r>
        <w:rPr>
          <w:rFonts w:hint="eastAsia"/>
          <w:b/>
          <w:bCs/>
        </w:rPr>
        <w:t>五、洋溪镇</w:t>
      </w:r>
    </w:p>
    <w:p>
      <w:pPr>
        <w:ind w:firstLine="632"/>
      </w:pPr>
      <w:r>
        <w:rPr>
          <w:rFonts w:hint="eastAsia"/>
        </w:rPr>
        <w:t>洋溪镇地处</w:t>
      </w:r>
      <w:r>
        <w:fldChar w:fldCharType="begin"/>
      </w:r>
      <w:r>
        <w:instrText xml:space="preserve"> HYPERLINK "https://baike.baidu.com/item/%E4%B8%89%E5%85%83%E5%8C%BA/4184020" \t "https://baike.baidu.com/item/%E6%B4%8B%E6%BA%AA%E9%95%87/_blank" </w:instrText>
      </w:r>
      <w:r>
        <w:fldChar w:fldCharType="separate"/>
      </w:r>
      <w:r>
        <w:rPr>
          <w:rFonts w:hint="eastAsia"/>
        </w:rPr>
        <w:t>三元区</w:t>
      </w:r>
      <w:r>
        <w:rPr>
          <w:rFonts w:hint="eastAsia"/>
        </w:rPr>
        <w:fldChar w:fldCharType="end"/>
      </w:r>
      <w:r>
        <w:rPr>
          <w:rFonts w:hint="eastAsia"/>
        </w:rPr>
        <w:t>东北部市郊，区域总面积67.95平方千米，镇人民政府驻新街村。辖上游社区、新街村、上街村、羊口仔村、孝坑村、连茂村、岩兜村、饱饭坑村、下坑村1个社区、8个行政村。2022年洋溪镇耕地总面积8323.20亩，2021年以前已建高标准农田2592.59亩，剩余耕地面积5730.61亩；本次规划2021年-2025年洋溪镇新建高标准农田3000亩，新增高效节水灌溉面积3000亩；规划2026年-2030年洋溪镇新建高标准农田500亩，改造提升高标准农田650亩，新增高效节水灌溉面积500亩。</w:t>
      </w:r>
    </w:p>
    <w:p>
      <w:pPr>
        <w:pStyle w:val="2"/>
        <w:ind w:left="632" w:firstLine="632"/>
      </w:pPr>
    </w:p>
    <w:p>
      <w:pPr>
        <w:pStyle w:val="2"/>
        <w:spacing w:line="240" w:lineRule="auto"/>
        <w:ind w:left="0" w:leftChars="0" w:firstLine="0" w:firstLineChars="0"/>
        <w:jc w:val="center"/>
        <w:rPr>
          <w:b/>
          <w:bCs/>
        </w:rPr>
      </w:pPr>
      <w:r>
        <w:rPr>
          <w:b/>
          <w:bCs/>
        </w:rPr>
        <w:t>表</w:t>
      </w:r>
      <w:r>
        <w:rPr>
          <w:rFonts w:hint="eastAsia"/>
          <w:b/>
          <w:bCs/>
        </w:rPr>
        <w:t>4-7 洋溪镇规划汇总表</w:t>
      </w:r>
    </w:p>
    <w:p>
      <w:pPr>
        <w:pStyle w:val="2"/>
        <w:spacing w:line="240" w:lineRule="auto"/>
        <w:ind w:left="0" w:leftChars="0" w:firstLine="0" w:firstLineChars="0"/>
        <w:jc w:val="right"/>
      </w:pPr>
      <w:r>
        <w:rPr>
          <w:rFonts w:hint="eastAsia"/>
        </w:rPr>
        <w:t>单位：亩</w:t>
      </w:r>
    </w:p>
    <w:tbl>
      <w:tblPr>
        <w:tblStyle w:val="12"/>
        <w:tblW w:w="4998" w:type="pct"/>
        <w:tblInd w:w="0" w:type="dxa"/>
        <w:tblLayout w:type="fixed"/>
        <w:tblCellMar>
          <w:top w:w="0" w:type="dxa"/>
          <w:left w:w="108" w:type="dxa"/>
          <w:bottom w:w="0" w:type="dxa"/>
          <w:right w:w="108" w:type="dxa"/>
        </w:tblCellMar>
      </w:tblPr>
      <w:tblGrid>
        <w:gridCol w:w="660"/>
        <w:gridCol w:w="1383"/>
        <w:gridCol w:w="1134"/>
        <w:gridCol w:w="1066"/>
        <w:gridCol w:w="1152"/>
        <w:gridCol w:w="1148"/>
        <w:gridCol w:w="1116"/>
        <w:gridCol w:w="860"/>
      </w:tblGrid>
      <w:tr>
        <w:tblPrEx>
          <w:tblCellMar>
            <w:top w:w="0" w:type="dxa"/>
            <w:left w:w="108" w:type="dxa"/>
            <w:bottom w:w="0" w:type="dxa"/>
            <w:right w:w="108" w:type="dxa"/>
          </w:tblCellMar>
        </w:tblPrEx>
        <w:trPr>
          <w:trHeight w:val="500" w:hRule="atLeast"/>
        </w:trPr>
        <w:tc>
          <w:tcPr>
            <w:tcW w:w="387"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811"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966"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1834"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CellMar>
            <w:top w:w="0" w:type="dxa"/>
            <w:left w:w="108" w:type="dxa"/>
            <w:bottom w:w="0" w:type="dxa"/>
            <w:right w:w="108" w:type="dxa"/>
          </w:tblCellMar>
        </w:tblPrEx>
        <w:trPr>
          <w:trHeight w:val="920" w:hRule="atLeast"/>
        </w:trPr>
        <w:tc>
          <w:tcPr>
            <w:tcW w:w="387"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811"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r>
      <w:tr>
        <w:tblPrEx>
          <w:tblCellMar>
            <w:top w:w="0" w:type="dxa"/>
            <w:left w:w="108" w:type="dxa"/>
            <w:bottom w:w="0" w:type="dxa"/>
            <w:right w:w="108" w:type="dxa"/>
          </w:tblCellMar>
        </w:tblPrEx>
        <w:trPr>
          <w:trHeight w:val="500" w:hRule="atLeast"/>
        </w:trPr>
        <w:tc>
          <w:tcPr>
            <w:tcW w:w="3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w:t>
            </w:r>
          </w:p>
        </w:tc>
        <w:tc>
          <w:tcPr>
            <w:tcW w:w="81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连茂村</w:t>
            </w: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1446.14</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1446.14</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450</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3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w:t>
            </w:r>
          </w:p>
        </w:tc>
        <w:tc>
          <w:tcPr>
            <w:tcW w:w="81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下坑村</w:t>
            </w: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3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w:t>
            </w:r>
          </w:p>
        </w:tc>
        <w:tc>
          <w:tcPr>
            <w:tcW w:w="81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岩兜村</w:t>
            </w: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638.14</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638.14</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3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w:t>
            </w:r>
          </w:p>
        </w:tc>
        <w:tc>
          <w:tcPr>
            <w:tcW w:w="81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孝坑村</w:t>
            </w: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915.72</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915.72</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3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w:t>
            </w:r>
          </w:p>
        </w:tc>
        <w:tc>
          <w:tcPr>
            <w:tcW w:w="81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饱饭坑村</w:t>
            </w: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r>
      <w:tr>
        <w:tblPrEx>
          <w:tblCellMar>
            <w:top w:w="0" w:type="dxa"/>
            <w:left w:w="108" w:type="dxa"/>
            <w:bottom w:w="0" w:type="dxa"/>
            <w:right w:w="108" w:type="dxa"/>
          </w:tblCellMar>
        </w:tblPrEx>
        <w:trPr>
          <w:trHeight w:val="500" w:hRule="atLeast"/>
        </w:trPr>
        <w:tc>
          <w:tcPr>
            <w:tcW w:w="387"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合计</w:t>
            </w:r>
          </w:p>
        </w:tc>
        <w:tc>
          <w:tcPr>
            <w:tcW w:w="81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w:t>
            </w:r>
          </w:p>
        </w:tc>
        <w:tc>
          <w:tcPr>
            <w:tcW w:w="6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3000</w:t>
            </w:r>
          </w:p>
        </w:tc>
        <w:tc>
          <w:tcPr>
            <w:tcW w:w="62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3000</w:t>
            </w:r>
          </w:p>
        </w:tc>
        <w:tc>
          <w:tcPr>
            <w:tcW w:w="67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5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650</w:t>
            </w:r>
          </w:p>
        </w:tc>
        <w:tc>
          <w:tcPr>
            <w:tcW w:w="503"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r>
    </w:tbl>
    <w:p>
      <w:pPr>
        <w:pStyle w:val="2"/>
        <w:ind w:left="632" w:firstLine="632"/>
      </w:pPr>
    </w:p>
    <w:p>
      <w:pPr>
        <w:ind w:firstLine="634"/>
        <w:rPr>
          <w:b/>
          <w:bCs/>
        </w:rPr>
      </w:pPr>
      <w:r>
        <w:rPr>
          <w:rFonts w:hint="eastAsia"/>
          <w:b/>
          <w:bCs/>
        </w:rPr>
        <w:t>六、徐碧街道</w:t>
      </w:r>
    </w:p>
    <w:p>
      <w:pPr>
        <w:ind w:firstLine="632"/>
      </w:pPr>
      <w:r>
        <w:rPr>
          <w:rFonts w:hint="eastAsia"/>
        </w:rPr>
        <w:t>徐碧街道地处</w:t>
      </w:r>
      <w:r>
        <w:fldChar w:fldCharType="begin"/>
      </w:r>
      <w:r>
        <w:instrText xml:space="preserve"> HYPERLINK "https://baike.baidu.com/item/%E4%B8%89%E5%85%83%E5%8C%BA/4184020" \t "https://baike.baidu.com/item/%E5%BE%90%E7%A2%A7%E8%A1%97%E9%81%93/_blank" </w:instrText>
      </w:r>
      <w:r>
        <w:fldChar w:fldCharType="separate"/>
      </w:r>
      <w:r>
        <w:rPr>
          <w:rFonts w:hint="eastAsia"/>
        </w:rPr>
        <w:t>三元区</w:t>
      </w:r>
      <w:r>
        <w:rPr>
          <w:rFonts w:hint="eastAsia"/>
        </w:rPr>
        <w:fldChar w:fldCharType="end"/>
      </w:r>
      <w:r>
        <w:rPr>
          <w:rFonts w:hint="eastAsia"/>
        </w:rPr>
        <w:t>东南部，东西最大距离7.5千米、南北最大距离10千米，总面积20平方千米，街道办事处驻乾龙新村176幢。辖五路社区、重化社区、乾龙社区、东乾社区、碧湖社区、北门社区、玖珑社区、洋山畲族村、廖源村、后洋村、徐碧村7个社区、4个行政村。2022年徐碧街道耕地总面积1816.65亩，2021年以前已建高标准农田292.63亩，剩余耕地面积1524.02亩；本次规划徐碧街道2026年-2030年新建高标准农田300亩。</w:t>
      </w:r>
    </w:p>
    <w:p>
      <w:pPr>
        <w:pStyle w:val="2"/>
        <w:spacing w:line="240" w:lineRule="auto"/>
        <w:ind w:left="0" w:leftChars="0" w:firstLine="0" w:firstLineChars="0"/>
        <w:jc w:val="center"/>
        <w:rPr>
          <w:b/>
          <w:bCs/>
        </w:rPr>
      </w:pPr>
      <w:r>
        <w:rPr>
          <w:b/>
          <w:bCs/>
        </w:rPr>
        <w:t>表</w:t>
      </w:r>
      <w:r>
        <w:rPr>
          <w:rFonts w:hint="eastAsia"/>
          <w:b/>
          <w:bCs/>
        </w:rPr>
        <w:t>4-8 徐碧街道规划汇总表</w:t>
      </w:r>
    </w:p>
    <w:p>
      <w:pPr>
        <w:pStyle w:val="2"/>
        <w:spacing w:line="240" w:lineRule="auto"/>
        <w:ind w:left="0" w:leftChars="0" w:firstLine="0" w:firstLineChars="0"/>
        <w:jc w:val="right"/>
      </w:pPr>
      <w:r>
        <w:rPr>
          <w:rFonts w:hint="eastAsia"/>
        </w:rPr>
        <w:t>单位：亩</w:t>
      </w:r>
    </w:p>
    <w:tbl>
      <w:tblPr>
        <w:tblStyle w:val="12"/>
        <w:tblW w:w="5000" w:type="pct"/>
        <w:tblInd w:w="0" w:type="dxa"/>
        <w:tblLayout w:type="autofit"/>
        <w:tblCellMar>
          <w:top w:w="0" w:type="dxa"/>
          <w:left w:w="108" w:type="dxa"/>
          <w:bottom w:w="0" w:type="dxa"/>
          <w:right w:w="108" w:type="dxa"/>
        </w:tblCellMar>
      </w:tblPr>
      <w:tblGrid>
        <w:gridCol w:w="494"/>
        <w:gridCol w:w="630"/>
        <w:gridCol w:w="1187"/>
        <w:gridCol w:w="1464"/>
        <w:gridCol w:w="1048"/>
        <w:gridCol w:w="1187"/>
        <w:gridCol w:w="1464"/>
        <w:gridCol w:w="1048"/>
      </w:tblGrid>
      <w:tr>
        <w:tblPrEx>
          <w:tblCellMar>
            <w:top w:w="0" w:type="dxa"/>
            <w:left w:w="108" w:type="dxa"/>
            <w:bottom w:w="0" w:type="dxa"/>
            <w:right w:w="108" w:type="dxa"/>
          </w:tblCellMar>
        </w:tblPrEx>
        <w:trPr>
          <w:trHeight w:val="500" w:hRule="atLeast"/>
        </w:trPr>
        <w:tc>
          <w:tcPr>
            <w:tcW w:w="62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62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875"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2021-2025年</w:t>
            </w:r>
          </w:p>
        </w:tc>
        <w:tc>
          <w:tcPr>
            <w:tcW w:w="1876" w:type="pct"/>
            <w:gridSpan w:val="3"/>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2026-2030年</w:t>
            </w:r>
          </w:p>
        </w:tc>
      </w:tr>
      <w:tr>
        <w:tblPrEx>
          <w:tblCellMar>
            <w:top w:w="0" w:type="dxa"/>
            <w:left w:w="108" w:type="dxa"/>
            <w:bottom w:w="0" w:type="dxa"/>
            <w:right w:w="108" w:type="dxa"/>
          </w:tblCellMar>
        </w:tblPrEx>
        <w:trPr>
          <w:trHeight w:val="500" w:hRule="atLeast"/>
        </w:trPr>
        <w:tc>
          <w:tcPr>
            <w:tcW w:w="62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62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8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65"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新建高标准农田</w:t>
            </w:r>
          </w:p>
        </w:tc>
        <w:tc>
          <w:tcPr>
            <w:tcW w:w="687"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改造提升高标准农田</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高效节水灌溉</w:t>
            </w:r>
          </w:p>
        </w:tc>
      </w:tr>
      <w:tr>
        <w:tblPrEx>
          <w:tblCellMar>
            <w:top w:w="0" w:type="dxa"/>
            <w:left w:w="108" w:type="dxa"/>
            <w:bottom w:w="0" w:type="dxa"/>
            <w:right w:w="108" w:type="dxa"/>
          </w:tblCellMar>
        </w:tblPrEx>
        <w:trPr>
          <w:trHeight w:val="500" w:hRule="atLeast"/>
        </w:trPr>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ascii="Times New Roman" w:hAnsi="Times New Roman" w:cs="Times New Roman"/>
                <w:lang w:eastAsia="zh-CN"/>
              </w:rPr>
              <w:t>1</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后洋村</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8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w:t>
            </w:r>
          </w:p>
        </w:tc>
        <w:tc>
          <w:tcPr>
            <w:tcW w:w="6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CellMar>
            <w:top w:w="0" w:type="dxa"/>
            <w:left w:w="108" w:type="dxa"/>
            <w:bottom w:w="0" w:type="dxa"/>
            <w:right w:w="108" w:type="dxa"/>
          </w:tblCellMar>
        </w:tblPrEx>
        <w:trPr>
          <w:trHeight w:val="500" w:hRule="atLeast"/>
        </w:trPr>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合计</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w:t>
            </w:r>
          </w:p>
        </w:tc>
        <w:tc>
          <w:tcPr>
            <w:tcW w:w="68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w:t>
            </w:r>
          </w:p>
        </w:tc>
        <w:tc>
          <w:tcPr>
            <w:tcW w:w="565"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w:t>
            </w:r>
          </w:p>
        </w:tc>
        <w:tc>
          <w:tcPr>
            <w:tcW w:w="62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w:t>
            </w:r>
          </w:p>
        </w:tc>
        <w:tc>
          <w:tcPr>
            <w:tcW w:w="687"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w:t>
            </w:r>
          </w:p>
        </w:tc>
        <w:tc>
          <w:tcPr>
            <w:tcW w:w="564"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0</w:t>
            </w:r>
          </w:p>
        </w:tc>
      </w:tr>
    </w:tbl>
    <w:p>
      <w:pPr>
        <w:ind w:firstLine="634"/>
        <w:rPr>
          <w:b/>
          <w:bCs/>
        </w:rPr>
      </w:pPr>
    </w:p>
    <w:p>
      <w:pPr>
        <w:ind w:firstLine="634"/>
        <w:rPr>
          <w:b/>
          <w:bCs/>
        </w:rPr>
      </w:pPr>
      <w:r>
        <w:rPr>
          <w:rFonts w:hint="eastAsia"/>
          <w:b/>
          <w:bCs/>
        </w:rPr>
        <w:t>七、各乡镇规划耕地现状调查</w:t>
      </w:r>
    </w:p>
    <w:p>
      <w:pPr>
        <w:ind w:firstLine="632"/>
      </w:pPr>
      <w:r>
        <w:rPr>
          <w:rFonts w:hint="eastAsia"/>
        </w:rPr>
        <w:t>经本单位走访调查，本次规划各乡镇耕地均为基本农田，多为水田，少部分为旱地及水浇地。详细数据见表3-9。</w:t>
      </w:r>
    </w:p>
    <w:p>
      <w:pPr>
        <w:pStyle w:val="2"/>
        <w:spacing w:line="240" w:lineRule="auto"/>
        <w:ind w:left="0" w:leftChars="0" w:firstLine="0" w:firstLineChars="0"/>
        <w:jc w:val="center"/>
        <w:rPr>
          <w:b/>
          <w:bCs/>
        </w:rPr>
      </w:pPr>
      <w:r>
        <w:rPr>
          <w:b/>
          <w:bCs/>
        </w:rPr>
        <w:t>表</w:t>
      </w:r>
      <w:r>
        <w:rPr>
          <w:rFonts w:hint="eastAsia"/>
          <w:b/>
          <w:bCs/>
        </w:rPr>
        <w:t>4-9 各乡镇规划耕地现状类型汇总表</w:t>
      </w:r>
    </w:p>
    <w:p>
      <w:pPr>
        <w:pStyle w:val="2"/>
        <w:spacing w:line="240" w:lineRule="auto"/>
        <w:ind w:left="0" w:leftChars="0" w:firstLine="0" w:firstLineChars="0"/>
        <w:jc w:val="right"/>
      </w:pPr>
      <w:r>
        <w:rPr>
          <w:rFonts w:hint="eastAsia"/>
        </w:rPr>
        <w:t>单位：亩</w:t>
      </w:r>
    </w:p>
    <w:tbl>
      <w:tblPr>
        <w:tblStyle w:val="12"/>
        <w:tblW w:w="5000" w:type="pct"/>
        <w:tblInd w:w="0" w:type="dxa"/>
        <w:tblLayout w:type="fixed"/>
        <w:tblCellMar>
          <w:top w:w="0" w:type="dxa"/>
          <w:left w:w="108" w:type="dxa"/>
          <w:bottom w:w="0" w:type="dxa"/>
          <w:right w:w="108" w:type="dxa"/>
        </w:tblCellMar>
      </w:tblPr>
      <w:tblGrid>
        <w:gridCol w:w="1388"/>
        <w:gridCol w:w="1351"/>
        <w:gridCol w:w="2851"/>
        <w:gridCol w:w="1139"/>
        <w:gridCol w:w="1793"/>
      </w:tblGrid>
      <w:tr>
        <w:tblPrEx>
          <w:tblCellMar>
            <w:top w:w="0" w:type="dxa"/>
            <w:left w:w="108" w:type="dxa"/>
            <w:bottom w:w="0" w:type="dxa"/>
            <w:right w:w="108" w:type="dxa"/>
          </w:tblCellMar>
        </w:tblPrEx>
        <w:trPr>
          <w:trHeight w:val="500" w:hRule="atLeast"/>
          <w:tblHeader/>
        </w:trPr>
        <w:tc>
          <w:tcPr>
            <w:tcW w:w="81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乡镇</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村名</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规划新建高标准农田面积（亩）</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是否属于耕地</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b/>
                <w:bCs/>
                <w:spacing w:val="0"/>
                <w:kern w:val="0"/>
                <w:lang w:eastAsia="zh-CN"/>
              </w:rPr>
            </w:pPr>
            <w:r>
              <w:rPr>
                <w:rFonts w:hint="eastAsia"/>
                <w:b/>
                <w:bCs/>
                <w:spacing w:val="0"/>
                <w:kern w:val="0"/>
                <w:lang w:eastAsia="zh-CN"/>
              </w:rPr>
              <w:t>耕地类型</w:t>
            </w:r>
          </w:p>
        </w:tc>
      </w:tr>
      <w:tr>
        <w:tblPrEx>
          <w:tblCellMar>
            <w:top w:w="0" w:type="dxa"/>
            <w:left w:w="108" w:type="dxa"/>
            <w:bottom w:w="0" w:type="dxa"/>
            <w:right w:w="108" w:type="dxa"/>
          </w:tblCellMar>
        </w:tblPrEx>
        <w:trPr>
          <w:trHeight w:val="500" w:hRule="atLeast"/>
        </w:trPr>
        <w:tc>
          <w:tcPr>
            <w:tcW w:w="81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陈大镇</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碧溪村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350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砂蕉村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台溪村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长溪村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restart"/>
            <w:tcBorders>
              <w:top w:val="single" w:color="000000" w:sz="4" w:space="0"/>
              <w:left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岩前镇</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忠山村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550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富源村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472.57</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欧坑村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253.77</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乌龙村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650.54</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眉山村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520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星桥村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1622.22</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横坑村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白叶坑村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741.79</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吉口村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1059.11</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岩前村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750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莘口镇</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后溪村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144</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楼源村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270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柳城村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505</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沙阳村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水田、水浇地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清溪村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炉洋村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945</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曹源村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416</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中村乡</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筠竹村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1130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left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前村村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670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松阳村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1200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坑源村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330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杜水村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440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草洋村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蕉坑村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360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白水村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埔头城村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230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中村村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805</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张坑村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575</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大焙坑村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居阳村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980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洋溪镇</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连茂村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1446.14</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岩兜村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638.14</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孝坑村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915.72</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饱饭坑村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r>
        <w:tblPrEx>
          <w:tblCellMar>
            <w:top w:w="0" w:type="dxa"/>
            <w:left w:w="108" w:type="dxa"/>
            <w:bottom w:w="0" w:type="dxa"/>
            <w:right w:w="108" w:type="dxa"/>
          </w:tblCellMar>
        </w:tblPrEx>
        <w:trPr>
          <w:trHeight w:val="500" w:hRule="atLeast"/>
        </w:trPr>
        <w:tc>
          <w:tcPr>
            <w:tcW w:w="814"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徐碧街道</w:t>
            </w:r>
          </w:p>
        </w:tc>
        <w:tc>
          <w:tcPr>
            <w:tcW w:w="792"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后洋村</w:t>
            </w:r>
          </w:p>
        </w:tc>
        <w:tc>
          <w:tcPr>
            <w:tcW w:w="1672" w:type="pct"/>
            <w:tcBorders>
              <w:top w:val="single" w:color="000000" w:sz="4" w:space="0"/>
              <w:left w:val="single" w:color="000000" w:sz="4" w:space="0"/>
              <w:bottom w:val="single" w:color="000000" w:sz="4" w:space="0"/>
              <w:right w:val="single" w:color="000000" w:sz="4" w:space="0"/>
            </w:tcBorders>
            <w:noWrap/>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300</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是</w:t>
            </w:r>
          </w:p>
        </w:tc>
        <w:tc>
          <w:tcPr>
            <w:tcW w:w="1051" w:type="pct"/>
            <w:tcBorders>
              <w:top w:val="single" w:color="000000" w:sz="4" w:space="0"/>
              <w:left w:val="single" w:color="000000" w:sz="4" w:space="0"/>
              <w:bottom w:val="single" w:color="000000" w:sz="4" w:space="0"/>
              <w:right w:val="single" w:color="000000" w:sz="4" w:space="0"/>
            </w:tcBorders>
            <w:noWrap/>
            <w:vAlign w:val="center"/>
          </w:tcPr>
          <w:p>
            <w:pPr>
              <w:pStyle w:val="6"/>
              <w:spacing w:line="400" w:lineRule="exact"/>
              <w:jc w:val="center"/>
              <w:rPr>
                <w:spacing w:val="0"/>
                <w:kern w:val="0"/>
                <w:lang w:eastAsia="zh-CN"/>
              </w:rPr>
            </w:pPr>
            <w:r>
              <w:rPr>
                <w:rFonts w:hint="eastAsia"/>
                <w:spacing w:val="0"/>
                <w:kern w:val="0"/>
                <w:lang w:eastAsia="zh-CN"/>
              </w:rPr>
              <w:t>水田、旱地</w:t>
            </w:r>
          </w:p>
        </w:tc>
      </w:tr>
    </w:tbl>
    <w:p>
      <w:pPr>
        <w:ind w:firstLine="632"/>
      </w:pPr>
    </w:p>
    <w:p>
      <w:pPr>
        <w:pStyle w:val="5"/>
        <w:spacing w:before="93" w:after="93"/>
        <w:rPr>
          <w:kern w:val="0"/>
          <w:lang w:eastAsia="zh-CN"/>
        </w:rPr>
      </w:pPr>
      <w:bookmarkStart w:id="159" w:name="_Toc24361"/>
      <w:bookmarkStart w:id="160" w:name="_Toc21210"/>
      <w:r>
        <w:rPr>
          <w:kern w:val="0"/>
        </w:rPr>
        <w:t>第</w:t>
      </w:r>
      <w:r>
        <w:rPr>
          <w:rFonts w:hint="eastAsia"/>
          <w:kern w:val="0"/>
          <w:lang w:eastAsia="zh-CN"/>
        </w:rPr>
        <w:t>五</w:t>
      </w:r>
      <w:r>
        <w:rPr>
          <w:kern w:val="0"/>
        </w:rPr>
        <w:t>节</w:t>
      </w:r>
      <w:r>
        <w:rPr>
          <w:rFonts w:hint="eastAsia"/>
          <w:kern w:val="0"/>
          <w:lang w:eastAsia="zh-CN"/>
        </w:rPr>
        <w:t>重点工程</w:t>
      </w:r>
      <w:bookmarkEnd w:id="159"/>
      <w:bookmarkEnd w:id="160"/>
    </w:p>
    <w:p>
      <w:pPr>
        <w:ind w:firstLine="632"/>
      </w:pPr>
      <w:r>
        <w:rPr>
          <w:rFonts w:hint="eastAsia"/>
        </w:rPr>
        <w:t>近年来，随着社会的发展农业发展越来越困难，农村劳动力的减少，自然灾害增多，化肥价格提高等因素，促使农户耕种积极性大大降低，多地出现“非粮化、非农化”现象。为响应国家“非粮化、非农化”整改政策，为提高良田区域，2021年-2030年规划期间，我区规划重点工程为宜机化改造工程。</w:t>
      </w:r>
    </w:p>
    <w:p>
      <w:pPr>
        <w:numPr>
          <w:ilvl w:val="0"/>
          <w:numId w:val="10"/>
        </w:numPr>
        <w:ind w:firstLine="632"/>
      </w:pPr>
      <w:r>
        <w:rPr>
          <w:rFonts w:hint="eastAsia"/>
        </w:rPr>
        <w:t>宜机化改造工程</w:t>
      </w:r>
    </w:p>
    <w:p>
      <w:pPr>
        <w:ind w:firstLine="632"/>
      </w:pPr>
      <w:r>
        <w:rPr>
          <w:rFonts w:hint="eastAsia"/>
        </w:rPr>
        <w:t>1、总体要求</w:t>
      </w:r>
    </w:p>
    <w:p>
      <w:pPr>
        <w:ind w:firstLine="632"/>
      </w:pPr>
      <w:r>
        <w:rPr>
          <w:rFonts w:hint="eastAsia"/>
        </w:rPr>
        <w:t>根据农业农村部办公厅关于印发《丘陵山区宜机化改造工作指引（试行）》的通知（农办机(2019) 13号）,推动改善农田农机通行和作业条件，提高农机适应性，扩展大中型农机运用空间，加快补齐丘陵山区农业机械化基础条件薄弱的短板。</w:t>
      </w:r>
    </w:p>
    <w:p>
      <w:pPr>
        <w:ind w:firstLine="632"/>
      </w:pPr>
      <w:r>
        <w:rPr>
          <w:rFonts w:hint="eastAsia"/>
        </w:rPr>
        <w:t>地块选取:坡度不大于25°，优先改造小于15°的地块;地块道路通达性较好、土层深厚、集中连片、排灌基础好、能够规模化实施改造的耕地;地块士体厚度能满足目标作物生长发育。</w:t>
      </w:r>
    </w:p>
    <w:p>
      <w:pPr>
        <w:ind w:firstLine="632"/>
      </w:pPr>
      <w:r>
        <w:rPr>
          <w:rFonts w:hint="eastAsia"/>
        </w:rPr>
        <w:t>改造内容:实现地块互联互通、消除作业死角、优化地块布局、合理布局沟渠、土壤培肥熟化。</w:t>
      </w:r>
    </w:p>
    <w:p>
      <w:pPr>
        <w:ind w:firstLine="632"/>
      </w:pPr>
      <w:r>
        <w:rPr>
          <w:rFonts w:hint="eastAsia"/>
        </w:rPr>
        <w:t>整治标准:田块以长方形为原则进行土地平整，根据地形，修成水平梯田或坡式梯田;地块标准面积为1亩以上;地块方向应配合地形、日照、风向及土地承包权属进行设计:地块坡度纵向坡降不大于10%，横向坡降不大于3%;田间道路3~6米，生产路不超过3米，设置必要的下田坡道、会车道、回车场:灌排工程应遵循水土资源合理利用的原则，合理布置沟渠。</w:t>
      </w:r>
    </w:p>
    <w:p>
      <w:pPr>
        <w:ind w:firstLine="632"/>
      </w:pPr>
      <w:r>
        <w:rPr>
          <w:rFonts w:hint="eastAsia"/>
        </w:rPr>
        <w:t>2、任务安排</w:t>
      </w:r>
    </w:p>
    <w:p>
      <w:pPr>
        <w:ind w:firstLine="632"/>
      </w:pPr>
      <w:r>
        <w:rPr>
          <w:rFonts w:hint="eastAsia"/>
        </w:rPr>
        <w:t>“十四五”期间，三元区规划建成宜机农田项目3个，总面积0.48万亩。</w:t>
      </w:r>
    </w:p>
    <w:p>
      <w:pPr>
        <w:pStyle w:val="2"/>
        <w:ind w:left="0" w:leftChars="0" w:firstLine="0" w:firstLineChars="0"/>
        <w:jc w:val="center"/>
        <w:rPr>
          <w:b/>
          <w:bCs/>
        </w:rPr>
      </w:pPr>
      <w:r>
        <w:rPr>
          <w:rFonts w:hint="eastAsia"/>
          <w:b/>
          <w:bCs/>
        </w:rPr>
        <w:t>表4-10 三元区宜机农田项目汇总表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4587"/>
        <w:gridCol w:w="872"/>
        <w:gridCol w:w="1094"/>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noWrap/>
            <w:vAlign w:val="center"/>
          </w:tcPr>
          <w:p>
            <w:pPr>
              <w:pStyle w:val="6"/>
              <w:spacing w:line="400" w:lineRule="exact"/>
              <w:jc w:val="center"/>
              <w:rPr>
                <w:b/>
                <w:bCs/>
                <w:spacing w:val="0"/>
                <w:kern w:val="0"/>
                <w:lang w:eastAsia="zh-CN"/>
              </w:rPr>
            </w:pPr>
            <w:r>
              <w:rPr>
                <w:rFonts w:hint="eastAsia"/>
                <w:b/>
                <w:bCs/>
                <w:spacing w:val="0"/>
                <w:kern w:val="0"/>
                <w:lang w:eastAsia="zh-CN"/>
              </w:rPr>
              <w:t>序号</w:t>
            </w:r>
          </w:p>
        </w:tc>
        <w:tc>
          <w:tcPr>
            <w:tcW w:w="1989" w:type="pct"/>
            <w:noWrap/>
            <w:vAlign w:val="center"/>
          </w:tcPr>
          <w:p>
            <w:pPr>
              <w:pStyle w:val="6"/>
              <w:spacing w:line="400" w:lineRule="exact"/>
              <w:jc w:val="center"/>
              <w:rPr>
                <w:b/>
                <w:bCs/>
                <w:spacing w:val="0"/>
                <w:kern w:val="0"/>
                <w:lang w:eastAsia="zh-CN"/>
              </w:rPr>
            </w:pPr>
            <w:r>
              <w:rPr>
                <w:rFonts w:hint="eastAsia"/>
                <w:b/>
                <w:bCs/>
                <w:spacing w:val="0"/>
                <w:kern w:val="0"/>
                <w:lang w:eastAsia="zh-CN"/>
              </w:rPr>
              <w:t>项目名称</w:t>
            </w:r>
          </w:p>
        </w:tc>
        <w:tc>
          <w:tcPr>
            <w:tcW w:w="713" w:type="pct"/>
            <w:noWrap/>
            <w:vAlign w:val="center"/>
          </w:tcPr>
          <w:p>
            <w:pPr>
              <w:pStyle w:val="6"/>
              <w:spacing w:line="400" w:lineRule="exact"/>
              <w:jc w:val="center"/>
              <w:rPr>
                <w:b/>
                <w:bCs/>
                <w:spacing w:val="0"/>
                <w:kern w:val="0"/>
                <w:lang w:eastAsia="zh-CN"/>
              </w:rPr>
            </w:pPr>
            <w:r>
              <w:rPr>
                <w:rFonts w:hint="eastAsia"/>
                <w:b/>
                <w:bCs/>
                <w:spacing w:val="0"/>
                <w:kern w:val="0"/>
                <w:lang w:eastAsia="zh-CN"/>
              </w:rPr>
              <w:t>乡镇</w:t>
            </w:r>
          </w:p>
        </w:tc>
        <w:tc>
          <w:tcPr>
            <w:tcW w:w="879" w:type="pct"/>
            <w:noWrap/>
            <w:vAlign w:val="center"/>
          </w:tcPr>
          <w:p>
            <w:pPr>
              <w:pStyle w:val="6"/>
              <w:spacing w:line="400" w:lineRule="exact"/>
              <w:jc w:val="center"/>
              <w:rPr>
                <w:b/>
                <w:bCs/>
                <w:spacing w:val="0"/>
                <w:kern w:val="0"/>
                <w:lang w:eastAsia="zh-CN"/>
              </w:rPr>
            </w:pPr>
            <w:r>
              <w:rPr>
                <w:rFonts w:hint="eastAsia"/>
                <w:b/>
                <w:bCs/>
                <w:spacing w:val="0"/>
                <w:kern w:val="0"/>
                <w:lang w:eastAsia="zh-CN"/>
              </w:rPr>
              <w:t>实施地点</w:t>
            </w:r>
          </w:p>
        </w:tc>
        <w:tc>
          <w:tcPr>
            <w:tcW w:w="902" w:type="pct"/>
            <w:noWrap/>
            <w:vAlign w:val="center"/>
          </w:tcPr>
          <w:p>
            <w:pPr>
              <w:pStyle w:val="6"/>
              <w:spacing w:line="400" w:lineRule="exact"/>
              <w:jc w:val="center"/>
              <w:rPr>
                <w:b/>
                <w:bCs/>
                <w:spacing w:val="0"/>
                <w:kern w:val="0"/>
                <w:lang w:eastAsia="zh-CN"/>
              </w:rPr>
            </w:pPr>
            <w:r>
              <w:rPr>
                <w:rFonts w:hint="eastAsia"/>
                <w:b/>
                <w:bCs/>
                <w:spacing w:val="0"/>
                <w:kern w:val="0"/>
                <w:lang w:eastAsia="zh-CN"/>
              </w:rPr>
              <w:t>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noWrap/>
            <w:vAlign w:val="center"/>
          </w:tcPr>
          <w:p>
            <w:pPr>
              <w:pStyle w:val="6"/>
              <w:spacing w:line="400" w:lineRule="exact"/>
              <w:jc w:val="center"/>
              <w:rPr>
                <w:spacing w:val="0"/>
                <w:kern w:val="0"/>
                <w:lang w:eastAsia="zh-CN"/>
              </w:rPr>
            </w:pPr>
            <w:r>
              <w:rPr>
                <w:rFonts w:hint="eastAsia"/>
                <w:spacing w:val="0"/>
                <w:kern w:val="0"/>
                <w:lang w:eastAsia="zh-CN"/>
              </w:rPr>
              <w:t>1</w:t>
            </w:r>
          </w:p>
        </w:tc>
        <w:tc>
          <w:tcPr>
            <w:tcW w:w="1989" w:type="pct"/>
            <w:noWrap/>
            <w:vAlign w:val="center"/>
          </w:tcPr>
          <w:p>
            <w:pPr>
              <w:pStyle w:val="6"/>
              <w:spacing w:line="400" w:lineRule="exact"/>
              <w:jc w:val="center"/>
              <w:rPr>
                <w:spacing w:val="0"/>
                <w:kern w:val="0"/>
                <w:lang w:eastAsia="zh-CN"/>
              </w:rPr>
            </w:pPr>
            <w:r>
              <w:rPr>
                <w:rFonts w:hint="eastAsia"/>
                <w:spacing w:val="0"/>
                <w:kern w:val="0"/>
                <w:lang w:eastAsia="zh-CN"/>
              </w:rPr>
              <w:t>三元区岩前镇忠山村高标准农田改造提升项目</w:t>
            </w:r>
          </w:p>
        </w:tc>
        <w:tc>
          <w:tcPr>
            <w:tcW w:w="713" w:type="pct"/>
            <w:noWrap/>
            <w:vAlign w:val="center"/>
          </w:tcPr>
          <w:p>
            <w:pPr>
              <w:pStyle w:val="6"/>
              <w:spacing w:line="400" w:lineRule="exact"/>
              <w:jc w:val="center"/>
              <w:rPr>
                <w:spacing w:val="0"/>
                <w:kern w:val="0"/>
                <w:lang w:eastAsia="zh-CN"/>
              </w:rPr>
            </w:pPr>
            <w:r>
              <w:rPr>
                <w:rFonts w:hint="eastAsia"/>
                <w:spacing w:val="0"/>
                <w:kern w:val="0"/>
                <w:lang w:eastAsia="zh-CN"/>
              </w:rPr>
              <w:t>岩前镇</w:t>
            </w:r>
          </w:p>
        </w:tc>
        <w:tc>
          <w:tcPr>
            <w:tcW w:w="879" w:type="pct"/>
            <w:noWrap/>
            <w:vAlign w:val="center"/>
          </w:tcPr>
          <w:p>
            <w:pPr>
              <w:pStyle w:val="6"/>
              <w:spacing w:line="400" w:lineRule="exact"/>
              <w:jc w:val="center"/>
              <w:rPr>
                <w:spacing w:val="0"/>
                <w:kern w:val="0"/>
                <w:lang w:eastAsia="zh-CN"/>
              </w:rPr>
            </w:pPr>
            <w:r>
              <w:rPr>
                <w:rFonts w:hint="eastAsia"/>
                <w:spacing w:val="0"/>
                <w:kern w:val="0"/>
                <w:lang w:eastAsia="zh-CN"/>
              </w:rPr>
              <w:t>忠山村</w:t>
            </w:r>
          </w:p>
        </w:tc>
        <w:tc>
          <w:tcPr>
            <w:tcW w:w="902" w:type="pct"/>
            <w:noWrap/>
            <w:vAlign w:val="center"/>
          </w:tcPr>
          <w:p>
            <w:pPr>
              <w:pStyle w:val="6"/>
              <w:spacing w:line="400" w:lineRule="exact"/>
              <w:jc w:val="center"/>
              <w:rPr>
                <w:spacing w:val="0"/>
                <w:kern w:val="0"/>
                <w:lang w:eastAsia="zh-CN"/>
              </w:rPr>
            </w:pPr>
            <w:r>
              <w:rPr>
                <w:rFonts w:hint="eastAsia"/>
                <w:spacing w:val="0"/>
                <w:kern w:val="0"/>
                <w:lang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noWrap/>
            <w:vAlign w:val="center"/>
          </w:tcPr>
          <w:p>
            <w:pPr>
              <w:pStyle w:val="6"/>
              <w:spacing w:line="400" w:lineRule="exact"/>
              <w:jc w:val="center"/>
              <w:rPr>
                <w:spacing w:val="0"/>
                <w:kern w:val="0"/>
                <w:lang w:eastAsia="zh-CN"/>
              </w:rPr>
            </w:pPr>
            <w:r>
              <w:rPr>
                <w:rFonts w:hint="eastAsia"/>
                <w:spacing w:val="0"/>
                <w:kern w:val="0"/>
                <w:lang w:eastAsia="zh-CN"/>
              </w:rPr>
              <w:t>2</w:t>
            </w:r>
          </w:p>
        </w:tc>
        <w:tc>
          <w:tcPr>
            <w:tcW w:w="1989" w:type="pct"/>
            <w:noWrap/>
            <w:vAlign w:val="center"/>
          </w:tcPr>
          <w:p>
            <w:pPr>
              <w:pStyle w:val="6"/>
              <w:spacing w:line="400" w:lineRule="exact"/>
              <w:jc w:val="center"/>
              <w:rPr>
                <w:spacing w:val="0"/>
                <w:kern w:val="0"/>
                <w:lang w:eastAsia="zh-CN"/>
              </w:rPr>
            </w:pPr>
            <w:r>
              <w:rPr>
                <w:rFonts w:hint="eastAsia"/>
                <w:spacing w:val="0"/>
                <w:kern w:val="0"/>
                <w:lang w:eastAsia="zh-CN"/>
              </w:rPr>
              <w:t>三元区岩前镇富源村高标准农田改造提升项目</w:t>
            </w:r>
          </w:p>
        </w:tc>
        <w:tc>
          <w:tcPr>
            <w:tcW w:w="713" w:type="pct"/>
            <w:noWrap/>
            <w:vAlign w:val="center"/>
          </w:tcPr>
          <w:p>
            <w:pPr>
              <w:pStyle w:val="6"/>
              <w:spacing w:line="400" w:lineRule="exact"/>
              <w:jc w:val="center"/>
              <w:rPr>
                <w:spacing w:val="0"/>
                <w:kern w:val="0"/>
                <w:lang w:eastAsia="zh-CN"/>
              </w:rPr>
            </w:pPr>
            <w:r>
              <w:rPr>
                <w:rFonts w:hint="eastAsia"/>
                <w:spacing w:val="0"/>
                <w:kern w:val="0"/>
                <w:lang w:eastAsia="zh-CN"/>
              </w:rPr>
              <w:t>岩前镇</w:t>
            </w:r>
          </w:p>
        </w:tc>
        <w:tc>
          <w:tcPr>
            <w:tcW w:w="879" w:type="pct"/>
            <w:noWrap/>
            <w:vAlign w:val="center"/>
          </w:tcPr>
          <w:p>
            <w:pPr>
              <w:pStyle w:val="6"/>
              <w:spacing w:line="400" w:lineRule="exact"/>
              <w:jc w:val="center"/>
              <w:rPr>
                <w:spacing w:val="0"/>
                <w:kern w:val="0"/>
                <w:lang w:eastAsia="zh-CN"/>
              </w:rPr>
            </w:pPr>
            <w:r>
              <w:rPr>
                <w:rFonts w:hint="eastAsia"/>
                <w:spacing w:val="0"/>
                <w:kern w:val="0"/>
                <w:lang w:eastAsia="zh-CN"/>
              </w:rPr>
              <w:t>富源村</w:t>
            </w:r>
          </w:p>
        </w:tc>
        <w:tc>
          <w:tcPr>
            <w:tcW w:w="902" w:type="pct"/>
            <w:noWrap/>
            <w:vAlign w:val="center"/>
          </w:tcPr>
          <w:p>
            <w:pPr>
              <w:pStyle w:val="6"/>
              <w:spacing w:line="400" w:lineRule="exact"/>
              <w:jc w:val="center"/>
              <w:rPr>
                <w:spacing w:val="0"/>
                <w:kern w:val="0"/>
                <w:lang w:eastAsia="zh-CN"/>
              </w:rPr>
            </w:pPr>
            <w:r>
              <w:rPr>
                <w:rFonts w:hint="eastAsia"/>
                <w:spacing w:val="0"/>
                <w:kern w:val="0"/>
                <w:lang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noWrap/>
            <w:vAlign w:val="center"/>
          </w:tcPr>
          <w:p>
            <w:pPr>
              <w:pStyle w:val="6"/>
              <w:spacing w:line="400" w:lineRule="exact"/>
              <w:jc w:val="center"/>
              <w:rPr>
                <w:spacing w:val="0"/>
                <w:kern w:val="0"/>
                <w:lang w:eastAsia="zh-CN"/>
              </w:rPr>
            </w:pPr>
            <w:r>
              <w:rPr>
                <w:rFonts w:hint="eastAsia"/>
                <w:spacing w:val="0"/>
                <w:kern w:val="0"/>
                <w:lang w:eastAsia="zh-CN"/>
              </w:rPr>
              <w:t>3</w:t>
            </w:r>
          </w:p>
        </w:tc>
        <w:tc>
          <w:tcPr>
            <w:tcW w:w="1989" w:type="pct"/>
            <w:noWrap/>
            <w:vAlign w:val="center"/>
          </w:tcPr>
          <w:p>
            <w:pPr>
              <w:pStyle w:val="6"/>
              <w:spacing w:line="400" w:lineRule="exact"/>
              <w:jc w:val="center"/>
              <w:rPr>
                <w:spacing w:val="0"/>
                <w:kern w:val="0"/>
                <w:lang w:eastAsia="zh-CN"/>
              </w:rPr>
            </w:pPr>
            <w:r>
              <w:rPr>
                <w:rFonts w:hint="eastAsia"/>
                <w:spacing w:val="0"/>
                <w:kern w:val="0"/>
                <w:lang w:eastAsia="zh-CN"/>
              </w:rPr>
              <w:t>三元区中村乡南坑村高标准农田改造提升项目</w:t>
            </w:r>
          </w:p>
        </w:tc>
        <w:tc>
          <w:tcPr>
            <w:tcW w:w="713" w:type="pct"/>
            <w:noWrap/>
            <w:vAlign w:val="center"/>
          </w:tcPr>
          <w:p>
            <w:pPr>
              <w:pStyle w:val="6"/>
              <w:spacing w:line="400" w:lineRule="exact"/>
              <w:jc w:val="center"/>
              <w:rPr>
                <w:spacing w:val="0"/>
                <w:kern w:val="0"/>
                <w:lang w:eastAsia="zh-CN"/>
              </w:rPr>
            </w:pPr>
            <w:r>
              <w:rPr>
                <w:rFonts w:hint="eastAsia"/>
                <w:spacing w:val="0"/>
                <w:kern w:val="0"/>
                <w:lang w:eastAsia="zh-CN"/>
              </w:rPr>
              <w:t>中村乡</w:t>
            </w:r>
          </w:p>
        </w:tc>
        <w:tc>
          <w:tcPr>
            <w:tcW w:w="879" w:type="pct"/>
            <w:noWrap/>
            <w:vAlign w:val="center"/>
          </w:tcPr>
          <w:p>
            <w:pPr>
              <w:pStyle w:val="6"/>
              <w:spacing w:line="400" w:lineRule="exact"/>
              <w:jc w:val="center"/>
              <w:rPr>
                <w:spacing w:val="0"/>
                <w:kern w:val="0"/>
                <w:lang w:eastAsia="zh-CN"/>
              </w:rPr>
            </w:pPr>
            <w:r>
              <w:rPr>
                <w:rFonts w:hint="eastAsia"/>
                <w:spacing w:val="0"/>
                <w:kern w:val="0"/>
                <w:lang w:eastAsia="zh-CN"/>
              </w:rPr>
              <w:t>南坑村</w:t>
            </w:r>
          </w:p>
        </w:tc>
        <w:tc>
          <w:tcPr>
            <w:tcW w:w="902" w:type="pct"/>
            <w:noWrap/>
            <w:vAlign w:val="center"/>
          </w:tcPr>
          <w:p>
            <w:pPr>
              <w:pStyle w:val="6"/>
              <w:spacing w:line="400" w:lineRule="exact"/>
              <w:jc w:val="center"/>
              <w:rPr>
                <w:spacing w:val="0"/>
                <w:kern w:val="0"/>
                <w:lang w:eastAsia="zh-CN"/>
              </w:rPr>
            </w:pPr>
            <w:r>
              <w:rPr>
                <w:rFonts w:hint="eastAsia"/>
                <w:spacing w:val="0"/>
                <w:kern w:val="0"/>
                <w:lang w:eastAsia="zh-CN"/>
              </w:rPr>
              <w:t>1400</w:t>
            </w:r>
          </w:p>
        </w:tc>
      </w:tr>
    </w:tbl>
    <w:p>
      <w:pPr>
        <w:ind w:firstLine="632"/>
        <w:sectPr>
          <w:pgSz w:w="11906" w:h="16838"/>
          <w:pgMar w:top="1440" w:right="1800" w:bottom="1440" w:left="1800" w:header="851" w:footer="992" w:gutter="0"/>
          <w:cols w:space="425" w:num="1"/>
          <w:docGrid w:type="lines" w:linePitch="312" w:charSpace="0"/>
        </w:sectPr>
      </w:pPr>
    </w:p>
    <w:p>
      <w:pPr>
        <w:pStyle w:val="3"/>
      </w:pPr>
      <w:bookmarkStart w:id="161" w:name="_Toc26541"/>
      <w:bookmarkStart w:id="162" w:name="_Toc29757"/>
      <w:r>
        <w:t>第</w:t>
      </w:r>
      <w:r>
        <w:rPr>
          <w:rFonts w:hint="eastAsia"/>
        </w:rPr>
        <w:t>五</w:t>
      </w:r>
      <w:r>
        <w:t>章建设监管</w:t>
      </w:r>
      <w:bookmarkEnd w:id="161"/>
      <w:r>
        <w:rPr>
          <w:rFonts w:hint="eastAsia"/>
        </w:rPr>
        <w:t>和后续管护</w:t>
      </w:r>
      <w:bookmarkEnd w:id="162"/>
    </w:p>
    <w:p>
      <w:pPr>
        <w:pStyle w:val="5"/>
        <w:spacing w:before="93" w:after="93"/>
        <w:rPr>
          <w:kern w:val="0"/>
          <w:lang w:eastAsia="zh-CN"/>
        </w:rPr>
      </w:pPr>
      <w:bookmarkStart w:id="163" w:name="_Toc25194"/>
      <w:bookmarkStart w:id="164" w:name="_Toc19892"/>
      <w:r>
        <w:rPr>
          <w:rFonts w:hint="eastAsia"/>
          <w:kern w:val="0"/>
          <w:lang w:eastAsia="zh-CN"/>
        </w:rPr>
        <w:t>第一节</w:t>
      </w:r>
      <w:r>
        <w:rPr>
          <w:kern w:val="0"/>
          <w:lang w:eastAsia="zh-CN"/>
        </w:rPr>
        <w:t>质量管理</w:t>
      </w:r>
      <w:bookmarkEnd w:id="163"/>
      <w:bookmarkEnd w:id="164"/>
    </w:p>
    <w:p>
      <w:pPr>
        <w:ind w:left="632" w:leftChars="200" w:firstLine="0" w:firstLineChars="0"/>
        <w:rPr>
          <w:b/>
          <w:bCs/>
        </w:rPr>
      </w:pPr>
      <w:r>
        <w:rPr>
          <w:rFonts w:hint="eastAsia"/>
          <w:b/>
          <w:bCs/>
        </w:rPr>
        <w:t>一、</w:t>
      </w:r>
      <w:r>
        <w:rPr>
          <w:b/>
          <w:bCs/>
        </w:rPr>
        <w:t>严控建设质量。</w:t>
      </w:r>
    </w:p>
    <w:p>
      <w:pPr>
        <w:ind w:firstLine="632"/>
      </w:pPr>
      <w:r>
        <w:rPr>
          <w:rFonts w:hint="eastAsia"/>
        </w:rPr>
        <w:t>适应农业高质量发展要求，合理规划建设布局，科学设计建设内容，统一组织项目实施。全面推行项目法人制、招标投标制、工程监理制、合同管理制，实现项目实施精细化管理，严格执行相关建设标准和规范，落实工程质量管理责任，确保建设质量。</w:t>
      </w:r>
    </w:p>
    <w:p>
      <w:pPr>
        <w:ind w:left="632" w:leftChars="200" w:firstLine="0" w:firstLineChars="0"/>
        <w:rPr>
          <w:b/>
          <w:bCs/>
        </w:rPr>
      </w:pPr>
      <w:r>
        <w:rPr>
          <w:rFonts w:hint="eastAsia"/>
          <w:b/>
          <w:bCs/>
        </w:rPr>
        <w:t>二、</w:t>
      </w:r>
      <w:r>
        <w:rPr>
          <w:b/>
          <w:bCs/>
        </w:rPr>
        <w:t>提升耕地质量</w:t>
      </w:r>
      <w:r>
        <w:rPr>
          <w:rFonts w:hint="eastAsia"/>
          <w:b/>
          <w:bCs/>
        </w:rPr>
        <w:t>。</w:t>
      </w:r>
    </w:p>
    <w:p>
      <w:pPr>
        <w:ind w:firstLine="632"/>
      </w:pPr>
      <w:r>
        <w:rPr>
          <w:rFonts w:hint="eastAsia"/>
        </w:rPr>
        <w:t>落实高标准农田建设的田、土、水、路、林、电、技、管等八个方面要求，严格按照高标准建设要求开展田块整治、土壤改良、道路工程、灌排设施等工程，切实提高耕地质量。</w:t>
      </w:r>
    </w:p>
    <w:p>
      <w:pPr>
        <w:ind w:firstLine="632"/>
      </w:pPr>
      <w:r>
        <w:rPr>
          <w:rFonts w:hint="eastAsia"/>
        </w:rPr>
        <w:t>三</w:t>
      </w:r>
      <w:r>
        <w:rPr>
          <w:rFonts w:hint="eastAsia"/>
          <w:b/>
          <w:bCs/>
        </w:rPr>
        <w:t>、评定质量等级</w:t>
      </w:r>
      <w:r>
        <w:rPr>
          <w:b/>
          <w:bCs/>
        </w:rPr>
        <w:t>。</w:t>
      </w:r>
    </w:p>
    <w:p>
      <w:pPr>
        <w:ind w:firstLine="632"/>
      </w:pPr>
      <w:r>
        <w:rPr>
          <w:rFonts w:hint="eastAsia"/>
        </w:rPr>
        <w:t>依托布设的高标准农田耕地质量长期定位监测点，跟踪监测土壤理化性状、区域性特征等指示。按照《耕地质量等级》国家标准，在建设前后分别开展耕地质量等级变更调查评价，评价高标准农田粮食产能水平，做到“建设一片、调查一片、评价一片”。</w:t>
      </w:r>
    </w:p>
    <w:p>
      <w:pPr>
        <w:ind w:left="632" w:leftChars="200" w:firstLine="0" w:firstLineChars="0"/>
        <w:rPr>
          <w:b/>
          <w:bCs/>
        </w:rPr>
      </w:pPr>
      <w:r>
        <w:rPr>
          <w:rFonts w:hint="eastAsia"/>
          <w:b/>
          <w:bCs/>
        </w:rPr>
        <w:t>四、</w:t>
      </w:r>
      <w:r>
        <w:rPr>
          <w:b/>
          <w:bCs/>
        </w:rPr>
        <w:t>加强社会监督。</w:t>
      </w:r>
    </w:p>
    <w:p>
      <w:pPr>
        <w:ind w:firstLine="632"/>
      </w:pPr>
      <w:r>
        <w:rPr>
          <w:rFonts w:hint="eastAsia"/>
        </w:rPr>
        <w:t>尊重农民意愿，维护农民权益，保障农民知情权、参与权和监督权。及时公开项目建设相关信息，在项目区设立统一规范的公示标牌和标志，接受社会和群众监督。</w:t>
      </w:r>
    </w:p>
    <w:p>
      <w:pPr>
        <w:pStyle w:val="5"/>
        <w:spacing w:before="93" w:after="93"/>
        <w:rPr>
          <w:kern w:val="0"/>
          <w:lang w:eastAsia="zh-CN"/>
        </w:rPr>
      </w:pPr>
      <w:bookmarkStart w:id="165" w:name="_Toc28945"/>
      <w:bookmarkStart w:id="166" w:name="_Toc8535"/>
      <w:bookmarkStart w:id="167" w:name="_Toc24682"/>
      <w:r>
        <w:rPr>
          <w:rFonts w:hint="eastAsia"/>
          <w:kern w:val="0"/>
          <w:lang w:eastAsia="zh-CN"/>
        </w:rPr>
        <w:t>第二节上图入库</w:t>
      </w:r>
      <w:bookmarkEnd w:id="165"/>
      <w:bookmarkEnd w:id="166"/>
    </w:p>
    <w:p>
      <w:pPr>
        <w:ind w:left="632" w:leftChars="200" w:firstLine="0" w:firstLineChars="0"/>
        <w:rPr>
          <w:b/>
          <w:bCs/>
        </w:rPr>
      </w:pPr>
      <w:r>
        <w:rPr>
          <w:rFonts w:hint="eastAsia"/>
          <w:b/>
          <w:bCs/>
        </w:rPr>
        <w:t>一、</w:t>
      </w:r>
      <w:r>
        <w:rPr>
          <w:b/>
          <w:bCs/>
        </w:rPr>
        <w:t>建立数字平台。</w:t>
      </w:r>
    </w:p>
    <w:p>
      <w:pPr>
        <w:ind w:firstLine="632"/>
      </w:pPr>
      <w:r>
        <w:rPr>
          <w:rFonts w:hint="eastAsia"/>
        </w:rPr>
        <w:t>加快高标准农田管理大数据平台建设，做好相关信息系统的对接移交和数据共享，以土地利用现状图为底图，全面承接高标准农田建设历史数据，把高标准农田建设项目立项、实施、验收、使用等各阶段信息及时上图入库，形成全省高标准农田建设“一张图”。</w:t>
      </w:r>
    </w:p>
    <w:p>
      <w:pPr>
        <w:ind w:firstLine="634"/>
        <w:rPr>
          <w:b/>
          <w:bCs/>
        </w:rPr>
      </w:pPr>
      <w:r>
        <w:rPr>
          <w:rFonts w:hint="eastAsia"/>
          <w:b/>
          <w:bCs/>
        </w:rPr>
        <w:t>二、</w:t>
      </w:r>
      <w:r>
        <w:rPr>
          <w:b/>
          <w:bCs/>
        </w:rPr>
        <w:t>加强动态监管。</w:t>
      </w:r>
    </w:p>
    <w:p>
      <w:pPr>
        <w:ind w:firstLine="632"/>
      </w:pPr>
      <w:r>
        <w:rPr>
          <w:rFonts w:hint="eastAsia"/>
        </w:rPr>
        <w:t>综合运用航空航天遥感、卫星导航定位、地理信息系统、移动通信、区块链等现代信息技术手段，构建天空地一体的立体化监测监管体系，实现高标准农田建设的有据可查、全程监控、精准管理。</w:t>
      </w:r>
    </w:p>
    <w:p>
      <w:pPr>
        <w:ind w:left="632" w:leftChars="200" w:firstLine="0" w:firstLineChars="0"/>
        <w:rPr>
          <w:b/>
          <w:bCs/>
        </w:rPr>
      </w:pPr>
      <w:r>
        <w:rPr>
          <w:rFonts w:hint="eastAsia"/>
          <w:b/>
          <w:bCs/>
        </w:rPr>
        <w:t>三、</w:t>
      </w:r>
      <w:r>
        <w:rPr>
          <w:b/>
          <w:bCs/>
        </w:rPr>
        <w:t>强化信息共享。</w:t>
      </w:r>
    </w:p>
    <w:p>
      <w:pPr>
        <w:ind w:firstLine="632"/>
      </w:pPr>
      <w:r>
        <w:rPr>
          <w:rFonts w:hint="eastAsia"/>
        </w:rPr>
        <w:t>落实国务院关于政务信息资源共享管理要求，完善部门间信息共享机制，实现农田建设、保护、利用信息的互通共享。加强数据挖掘分析，为农田建设管理和保护利用提供决策支撑。</w:t>
      </w:r>
    </w:p>
    <w:p>
      <w:pPr>
        <w:pStyle w:val="5"/>
        <w:spacing w:before="93" w:after="93"/>
        <w:rPr>
          <w:kern w:val="0"/>
          <w:lang w:eastAsia="zh-CN"/>
        </w:rPr>
      </w:pPr>
      <w:bookmarkStart w:id="168" w:name="_Toc2310"/>
      <w:r>
        <w:rPr>
          <w:rFonts w:hint="eastAsia"/>
          <w:kern w:val="0"/>
          <w:lang w:eastAsia="zh-CN"/>
        </w:rPr>
        <w:t>第三节</w:t>
      </w:r>
      <w:r>
        <w:rPr>
          <w:kern w:val="0"/>
          <w:lang w:eastAsia="zh-CN"/>
        </w:rPr>
        <w:t>竣工验收</w:t>
      </w:r>
      <w:bookmarkEnd w:id="167"/>
      <w:bookmarkEnd w:id="168"/>
    </w:p>
    <w:p>
      <w:pPr>
        <w:ind w:left="632" w:leftChars="200" w:firstLine="0" w:firstLineChars="0"/>
        <w:rPr>
          <w:b/>
          <w:bCs/>
        </w:rPr>
      </w:pPr>
      <w:r>
        <w:rPr>
          <w:rFonts w:hint="eastAsia"/>
          <w:b/>
          <w:bCs/>
        </w:rPr>
        <w:t>一、</w:t>
      </w:r>
      <w:r>
        <w:rPr>
          <w:b/>
          <w:bCs/>
        </w:rPr>
        <w:t>明确验收程序。</w:t>
      </w:r>
    </w:p>
    <w:p>
      <w:pPr>
        <w:ind w:firstLine="632"/>
      </w:pPr>
      <w:r>
        <w:rPr>
          <w:rFonts w:hint="eastAsia"/>
        </w:rPr>
        <w:t>根据农业农村部《高标准农田建设项目竣工验收办法》（农建发〔2021]5号）和福建省农业农村厅制定了《高标准农田建设项目竣工验收实施细则》组织验收。负责竣工验收的单位，应在项目完工后半年内组织完成竣工验收工作。应当按以下程序开展竣工验收：</w:t>
      </w:r>
    </w:p>
    <w:p>
      <w:pPr>
        <w:numPr>
          <w:ilvl w:val="0"/>
          <w:numId w:val="11"/>
        </w:numPr>
        <w:ind w:firstLine="632"/>
      </w:pPr>
      <w:r>
        <w:rPr>
          <w:rFonts w:hint="eastAsia"/>
        </w:rPr>
        <w:t>单项自验。县级农业农村部门指导督促单项工程自验工作。在组织县级初验前，项目建设单位要及时开展由建设单位、相关技术人员、监理单位、施工单位等代表参加的单项工程自验工作。县级农业农村部门可视情派人参与，也可以与建设单位共同组织单项工程验收：</w:t>
      </w:r>
    </w:p>
    <w:p>
      <w:pPr>
        <w:numPr>
          <w:ilvl w:val="0"/>
          <w:numId w:val="11"/>
        </w:numPr>
        <w:ind w:firstLine="632"/>
      </w:pPr>
      <w:r>
        <w:rPr>
          <w:rFonts w:hint="eastAsia"/>
        </w:rPr>
        <w:t>县级初验。县级农业农村部门负责组织项目初验。项目完工并具备验收条件后，县级农业农村部门及时组织初验，核实项目建设内容的数量、质量，形成初验报告等。原则上在项目完工后的45个工作日内完成竣工工程结算编制、初验工作。负责组织项目初验的单位，应当组建初验组，由农业、水利、财务（概算）等方面的相关专家或技术人员组成，可聘请技术支撑单位配合初验。设区市农业农村部门授权县级农业农村部门组织竣工验收的项目（以下简称授权验收项目），项目初验工作由项目建设单位负责组织。允许有条件的地方由县级农业农村部门牵头建设单位同时开展项目单项自验、初验工作，具体方式由县级农业农村部门确定。</w:t>
      </w:r>
    </w:p>
    <w:p>
      <w:pPr>
        <w:numPr>
          <w:ilvl w:val="0"/>
          <w:numId w:val="11"/>
        </w:numPr>
        <w:ind w:firstLine="632"/>
      </w:pPr>
      <w:r>
        <w:rPr>
          <w:rFonts w:hint="eastAsia"/>
        </w:rPr>
        <w:t>申请竣工验收。初验合格的项目，应在20个工作日内，由县级农业农村部门向项目初步设计审批单位申请竣工验收（其中授权验收项目由项目建设单位向县级农业农村部门申请竣工验收）。竣工验收申请应按照竣工验收条件，对项目实施情况进行分类总结，附初验报告和第三方机构出具的工程质量检测报告等。初验和竣工验收同步开展的项目附单项验收报告。</w:t>
      </w:r>
    </w:p>
    <w:p>
      <w:pPr>
        <w:numPr>
          <w:ilvl w:val="0"/>
          <w:numId w:val="11"/>
        </w:numPr>
        <w:ind w:firstLine="632"/>
      </w:pPr>
      <w:r>
        <w:rPr>
          <w:rFonts w:hint="eastAsia"/>
        </w:rPr>
        <w:t>开展竣工验收。负责竣工验收的单位收到项目竣工验收申请后，应在60个工作日内完成验收工作，通过组建专家组，邀请农业、水利、财务（概算）等领域的专家、技术人员参与，或委托第三方机构组成的验收组等方式开展竣工验收工作。</w:t>
      </w:r>
    </w:p>
    <w:p>
      <w:pPr>
        <w:ind w:firstLine="632"/>
      </w:pPr>
      <w:r>
        <w:rPr>
          <w:rFonts w:hint="eastAsia"/>
        </w:rPr>
        <w:t>（5）出具验收意见。负责竣工验收的单位依据项目竣工验收报告，出具项目竣工验收意见。对竣工验收合格的，核发农业农村部统一格式的《高标准农田建设项目竣工验收合格证书》。对竣工验收不合格的，县级农业农村部门、项目建设单位应当按照项目竣工验收报告提出的问题和意见，组织开展限期整改，并将整改情况及时报送竣工验收组织单位。整改合格后，再次按程序提出竣工验收申请。</w:t>
      </w:r>
    </w:p>
    <w:p>
      <w:pPr>
        <w:ind w:left="632" w:leftChars="200" w:firstLine="0" w:firstLineChars="0"/>
        <w:rPr>
          <w:b/>
          <w:bCs/>
        </w:rPr>
      </w:pPr>
      <w:r>
        <w:rPr>
          <w:rFonts w:hint="eastAsia"/>
          <w:b/>
          <w:bCs/>
        </w:rPr>
        <w:t>二、</w:t>
      </w:r>
      <w:r>
        <w:rPr>
          <w:b/>
          <w:bCs/>
        </w:rPr>
        <w:t>加强权属管理。</w:t>
      </w:r>
    </w:p>
    <w:p>
      <w:pPr>
        <w:ind w:firstLine="632"/>
      </w:pPr>
      <w:r>
        <w:rPr>
          <w:rFonts w:hint="eastAsia"/>
        </w:rPr>
        <w:t>查清建设区域内的土地利用现状和权属状况，做到地类和面积准确，界址和权属清楚，无争议:存在土地权属争议的，不得纳入建设范围。在充分尊重农民意愿的基础上，合理编制权属调整方案，合理推进土地归并，逐步解决耕地地块细碎化问题。工程竣工验收后，及时进行地类变更和重新确权登记发证，确保建成后的高标准农田位置明确、权属清晰、地类正确、面积准确，依法保障土地所有者或经营者的权益。</w:t>
      </w:r>
    </w:p>
    <w:p>
      <w:pPr>
        <w:ind w:left="632" w:leftChars="200" w:firstLine="0" w:firstLineChars="0"/>
        <w:rPr>
          <w:b/>
          <w:bCs/>
        </w:rPr>
      </w:pPr>
      <w:r>
        <w:rPr>
          <w:rFonts w:hint="eastAsia"/>
          <w:b/>
          <w:bCs/>
        </w:rPr>
        <w:t>三、</w:t>
      </w:r>
      <w:r>
        <w:rPr>
          <w:b/>
          <w:bCs/>
        </w:rPr>
        <w:t>做好建档工作。</w:t>
      </w:r>
    </w:p>
    <w:p>
      <w:pPr>
        <w:ind w:firstLine="632"/>
      </w:pPr>
      <w:r>
        <w:rPr>
          <w:rFonts w:hint="eastAsia"/>
        </w:rPr>
        <w:t>建立“田块标识划界、县级台帐管理、部门备案公示、社会监督共管”机制:建立健全高标准农田管理台账，全面掌握高标准农田建设基本情况和产出能力变化:建立高标准农田档案管理制度，及时、全面收集建成的高标准衣田的有关资料并建立档案，做到准确、完整，逐步推进档案资料的数字化和信息化。</w:t>
      </w:r>
    </w:p>
    <w:p>
      <w:pPr>
        <w:pStyle w:val="5"/>
        <w:spacing w:before="93" w:after="93"/>
        <w:rPr>
          <w:kern w:val="0"/>
          <w:lang w:eastAsia="zh-CN"/>
        </w:rPr>
      </w:pPr>
      <w:bookmarkStart w:id="169" w:name="_Toc18206"/>
      <w:bookmarkStart w:id="170" w:name="_Toc23827"/>
      <w:r>
        <w:rPr>
          <w:rFonts w:hint="eastAsia"/>
          <w:kern w:val="0"/>
          <w:lang w:eastAsia="zh-CN"/>
        </w:rPr>
        <w:t>第四节工程移交</w:t>
      </w:r>
      <w:bookmarkEnd w:id="169"/>
      <w:bookmarkEnd w:id="170"/>
    </w:p>
    <w:p>
      <w:pPr>
        <w:ind w:firstLine="632"/>
      </w:pPr>
      <w:r>
        <w:t>高标准农田建设项目取得竣工验收合格证书后</w:t>
      </w:r>
      <w:r>
        <w:rPr>
          <w:rFonts w:hint="eastAsia"/>
        </w:rPr>
        <w:t>，</w:t>
      </w:r>
      <w:r>
        <w:t>项目建设单位应按规定及时与乡</w:t>
      </w:r>
      <w:r>
        <w:rPr>
          <w:rFonts w:hint="eastAsia"/>
        </w:rPr>
        <w:t>（镇）</w:t>
      </w:r>
      <w:r>
        <w:t>政府</w:t>
      </w:r>
      <w:r>
        <w:rPr>
          <w:rFonts w:hint="eastAsia"/>
        </w:rPr>
        <w:t>、</w:t>
      </w:r>
      <w:r>
        <w:t>项目土地所有权人办理项目基础设施移交手续</w:t>
      </w:r>
      <w:r>
        <w:rPr>
          <w:rFonts w:hint="eastAsia"/>
        </w:rPr>
        <w:t>，</w:t>
      </w:r>
      <w:r>
        <w:t>签订项目三方管护协议</w:t>
      </w:r>
      <w:r>
        <w:rPr>
          <w:rFonts w:hint="eastAsia"/>
        </w:rPr>
        <w:t>，</w:t>
      </w:r>
      <w:r>
        <w:t>落实管护主体</w:t>
      </w:r>
      <w:r>
        <w:rPr>
          <w:rFonts w:hint="eastAsia"/>
        </w:rPr>
        <w:t>、</w:t>
      </w:r>
      <w:r>
        <w:t>管护责任和管护标准。</w:t>
      </w:r>
    </w:p>
    <w:p>
      <w:pPr>
        <w:pStyle w:val="5"/>
        <w:spacing w:before="93" w:after="93"/>
        <w:rPr>
          <w:kern w:val="0"/>
          <w:lang w:eastAsia="zh-CN"/>
        </w:rPr>
      </w:pPr>
      <w:bookmarkStart w:id="171" w:name="_Toc21940"/>
      <w:bookmarkStart w:id="172" w:name="_Toc12684"/>
      <w:bookmarkStart w:id="173" w:name="_Toc17892"/>
      <w:r>
        <w:rPr>
          <w:kern w:val="0"/>
          <w:lang w:eastAsia="zh-CN"/>
        </w:rPr>
        <w:t>第</w:t>
      </w:r>
      <w:r>
        <w:rPr>
          <w:rFonts w:hint="eastAsia"/>
          <w:kern w:val="0"/>
          <w:lang w:eastAsia="zh-CN"/>
        </w:rPr>
        <w:t>五</w:t>
      </w:r>
      <w:r>
        <w:rPr>
          <w:kern w:val="0"/>
          <w:lang w:eastAsia="zh-CN"/>
        </w:rPr>
        <w:t>节管护标准</w:t>
      </w:r>
      <w:bookmarkEnd w:id="171"/>
      <w:bookmarkEnd w:id="172"/>
      <w:bookmarkEnd w:id="173"/>
    </w:p>
    <w:p>
      <w:pPr>
        <w:ind w:firstLine="632"/>
      </w:pPr>
      <w:r>
        <w:t>坚持建管并重</w:t>
      </w:r>
      <w:r>
        <w:rPr>
          <w:rFonts w:hint="eastAsia"/>
        </w:rPr>
        <w:t>，</w:t>
      </w:r>
      <w:r>
        <w:t>注重源头预防</w:t>
      </w:r>
      <w:r>
        <w:rPr>
          <w:rFonts w:hint="eastAsia"/>
        </w:rPr>
        <w:t>，</w:t>
      </w:r>
      <w:r>
        <w:t>健全管护制度</w:t>
      </w:r>
      <w:r>
        <w:rPr>
          <w:rFonts w:hint="eastAsia"/>
        </w:rPr>
        <w:t>，</w:t>
      </w:r>
      <w:r>
        <w:t>强化监督考核</w:t>
      </w:r>
      <w:r>
        <w:rPr>
          <w:rFonts w:hint="eastAsia"/>
        </w:rPr>
        <w:t>，</w:t>
      </w:r>
      <w:r>
        <w:t>实现高标准农田建后管护全域化</w:t>
      </w:r>
      <w:r>
        <w:rPr>
          <w:rFonts w:hint="eastAsia"/>
        </w:rPr>
        <w:t>、</w:t>
      </w:r>
      <w:r>
        <w:t>常态化</w:t>
      </w:r>
      <w:r>
        <w:rPr>
          <w:rFonts w:hint="eastAsia"/>
        </w:rPr>
        <w:t>、</w:t>
      </w:r>
      <w:r>
        <w:t>长效化的目标</w:t>
      </w:r>
      <w:r>
        <w:rPr>
          <w:rFonts w:hint="eastAsia"/>
        </w:rPr>
        <w:t>。</w:t>
      </w:r>
      <w:r>
        <w:t>建立健全</w:t>
      </w:r>
      <w:r>
        <w:rPr>
          <w:rFonts w:hint="eastAsia"/>
        </w:rPr>
        <w:t>“区</w:t>
      </w:r>
      <w:r>
        <w:t>负总责</w:t>
      </w:r>
      <w:r>
        <w:rPr>
          <w:rFonts w:hint="eastAsia"/>
        </w:rPr>
        <w:t>、</w:t>
      </w:r>
      <w:r>
        <w:t>乡镇监管</w:t>
      </w:r>
      <w:r>
        <w:rPr>
          <w:rFonts w:hint="eastAsia"/>
        </w:rPr>
        <w:t>、</w:t>
      </w:r>
      <w:r>
        <w:t>村为主体</w:t>
      </w:r>
      <w:r>
        <w:rPr>
          <w:rFonts w:hint="eastAsia"/>
        </w:rPr>
        <w:t>”</w:t>
      </w:r>
      <w:r>
        <w:t>的建后管护机制</w:t>
      </w:r>
      <w:r>
        <w:rPr>
          <w:rFonts w:hint="eastAsia"/>
        </w:rPr>
        <w:t>，</w:t>
      </w:r>
      <w:r>
        <w:t>压实高标准农田建后管护责任</w:t>
      </w:r>
      <w:r>
        <w:rPr>
          <w:rFonts w:hint="eastAsia"/>
        </w:rPr>
        <w:t>，</w:t>
      </w:r>
      <w:r>
        <w:t>高标准农田建后管护有主体</w:t>
      </w:r>
      <w:r>
        <w:rPr>
          <w:rFonts w:hint="eastAsia"/>
        </w:rPr>
        <w:t>、</w:t>
      </w:r>
      <w:r>
        <w:t>有人员</w:t>
      </w:r>
      <w:r>
        <w:rPr>
          <w:rFonts w:hint="eastAsia"/>
        </w:rPr>
        <w:t>、</w:t>
      </w:r>
      <w:r>
        <w:t>有资金</w:t>
      </w:r>
      <w:r>
        <w:rPr>
          <w:rFonts w:hint="eastAsia"/>
        </w:rPr>
        <w:t>、</w:t>
      </w:r>
      <w:r>
        <w:t>有标准</w:t>
      </w:r>
      <w:r>
        <w:rPr>
          <w:rFonts w:hint="eastAsia"/>
        </w:rPr>
        <w:t>、</w:t>
      </w:r>
      <w:r>
        <w:t>有考核</w:t>
      </w:r>
      <w:r>
        <w:rPr>
          <w:rFonts w:hint="eastAsia"/>
        </w:rPr>
        <w:t>，</w:t>
      </w:r>
      <w:r>
        <w:t>确保建成的高标准农田全部纳入管护范围</w:t>
      </w:r>
      <w:r>
        <w:rPr>
          <w:rFonts w:hint="eastAsia"/>
        </w:rPr>
        <w:t>，</w:t>
      </w:r>
      <w:r>
        <w:t>确保建成的高标准农田工程设施定期维护</w:t>
      </w:r>
      <w:r>
        <w:rPr>
          <w:rFonts w:hint="eastAsia"/>
        </w:rPr>
        <w:t>，</w:t>
      </w:r>
      <w:r>
        <w:t>确保建成的高标准农田长久发挥效益。</w:t>
      </w:r>
    </w:p>
    <w:p>
      <w:pPr>
        <w:ind w:firstLine="634"/>
        <w:rPr>
          <w:b/>
          <w:bCs/>
        </w:rPr>
      </w:pPr>
      <w:r>
        <w:rPr>
          <w:rFonts w:hint="eastAsia"/>
          <w:b/>
          <w:bCs/>
        </w:rPr>
        <w:t>一、</w:t>
      </w:r>
      <w:r>
        <w:rPr>
          <w:b/>
          <w:bCs/>
        </w:rPr>
        <w:t>小型引水工程设施。</w:t>
      </w:r>
    </w:p>
    <w:p>
      <w:pPr>
        <w:ind w:firstLine="632"/>
      </w:pPr>
      <w:r>
        <w:t>定期检查堰坝等水源工程的启闭设施</w:t>
      </w:r>
      <w:r>
        <w:rPr>
          <w:rFonts w:hint="eastAsia"/>
        </w:rPr>
        <w:t>，</w:t>
      </w:r>
      <w:r>
        <w:t>确保启闭灵活</w:t>
      </w:r>
      <w:r>
        <w:rPr>
          <w:rFonts w:hint="eastAsia"/>
        </w:rPr>
        <w:t>，</w:t>
      </w:r>
      <w:r>
        <w:t>设施完好</w:t>
      </w:r>
      <w:r>
        <w:rPr>
          <w:rFonts w:hint="eastAsia"/>
        </w:rPr>
        <w:t>；</w:t>
      </w:r>
      <w:r>
        <w:t>保持坝顶和坝坡平整</w:t>
      </w:r>
      <w:r>
        <w:rPr>
          <w:rFonts w:hint="eastAsia"/>
        </w:rPr>
        <w:t>，</w:t>
      </w:r>
      <w:r>
        <w:t>运行安全正常。</w:t>
      </w:r>
    </w:p>
    <w:p>
      <w:pPr>
        <w:ind w:left="632" w:leftChars="200" w:firstLine="0" w:firstLineChars="0"/>
        <w:rPr>
          <w:b/>
          <w:bCs/>
        </w:rPr>
      </w:pPr>
      <w:r>
        <w:rPr>
          <w:rFonts w:hint="eastAsia"/>
          <w:b/>
          <w:bCs/>
        </w:rPr>
        <w:t>二、</w:t>
      </w:r>
      <w:r>
        <w:rPr>
          <w:b/>
          <w:bCs/>
        </w:rPr>
        <w:t>小型灌排泵站工程设施。</w:t>
      </w:r>
    </w:p>
    <w:p>
      <w:pPr>
        <w:ind w:firstLine="632"/>
      </w:pPr>
      <w:r>
        <w:t>启闭设备</w:t>
      </w:r>
      <w:r>
        <w:rPr>
          <w:rFonts w:hint="eastAsia"/>
        </w:rPr>
        <w:t>、</w:t>
      </w:r>
      <w:r>
        <w:t>机泵设备</w:t>
      </w:r>
      <w:r>
        <w:rPr>
          <w:rFonts w:hint="eastAsia"/>
        </w:rPr>
        <w:t>、</w:t>
      </w:r>
      <w:r>
        <w:t>动力设备</w:t>
      </w:r>
      <w:r>
        <w:rPr>
          <w:rFonts w:hint="eastAsia"/>
        </w:rPr>
        <w:t>、</w:t>
      </w:r>
      <w:r>
        <w:t>电气设备及附属设施定期维护检修</w:t>
      </w:r>
      <w:r>
        <w:rPr>
          <w:rFonts w:hint="eastAsia"/>
        </w:rPr>
        <w:t>，</w:t>
      </w:r>
      <w:r>
        <w:t>保证设备完好</w:t>
      </w:r>
      <w:r>
        <w:rPr>
          <w:rFonts w:hint="eastAsia"/>
        </w:rPr>
        <w:t>、</w:t>
      </w:r>
      <w:r>
        <w:t>运转安全正常。</w:t>
      </w:r>
    </w:p>
    <w:p>
      <w:pPr>
        <w:ind w:left="632" w:leftChars="200" w:firstLine="0" w:firstLineChars="0"/>
        <w:rPr>
          <w:b/>
          <w:bCs/>
        </w:rPr>
      </w:pPr>
      <w:r>
        <w:rPr>
          <w:rFonts w:hint="eastAsia"/>
          <w:b/>
          <w:bCs/>
        </w:rPr>
        <w:t>三、</w:t>
      </w:r>
      <w:r>
        <w:rPr>
          <w:b/>
          <w:bCs/>
        </w:rPr>
        <w:t>灌区末级渠系及配套建筑物设施。</w:t>
      </w:r>
    </w:p>
    <w:p>
      <w:pPr>
        <w:ind w:firstLine="632"/>
      </w:pPr>
      <w:r>
        <w:t>保持沟渠过水断面完整</w:t>
      </w:r>
      <w:r>
        <w:rPr>
          <w:rFonts w:hint="eastAsia"/>
        </w:rPr>
        <w:t>，</w:t>
      </w:r>
      <w:r>
        <w:t>沟渠畅通;管涵</w:t>
      </w:r>
      <w:r>
        <w:rPr>
          <w:rFonts w:hint="eastAsia"/>
        </w:rPr>
        <w:t>、</w:t>
      </w:r>
      <w:r>
        <w:t>渡槽</w:t>
      </w:r>
      <w:r>
        <w:rPr>
          <w:rFonts w:hint="eastAsia"/>
        </w:rPr>
        <w:t>、</w:t>
      </w:r>
      <w:r>
        <w:t>跌水</w:t>
      </w:r>
      <w:r>
        <w:rPr>
          <w:rFonts w:hint="eastAsia"/>
        </w:rPr>
        <w:t>、</w:t>
      </w:r>
      <w:r>
        <w:t>倒虹吸等配套建筑完好无损</w:t>
      </w:r>
      <w:r>
        <w:rPr>
          <w:rFonts w:hint="eastAsia"/>
        </w:rPr>
        <w:t>、</w:t>
      </w:r>
      <w:r>
        <w:t>运行安全正常。</w:t>
      </w:r>
    </w:p>
    <w:p>
      <w:pPr>
        <w:ind w:left="632" w:leftChars="200" w:firstLine="0" w:firstLineChars="0"/>
        <w:rPr>
          <w:b/>
          <w:bCs/>
        </w:rPr>
      </w:pPr>
      <w:r>
        <w:rPr>
          <w:rFonts w:hint="eastAsia"/>
          <w:b/>
          <w:bCs/>
        </w:rPr>
        <w:t>四、</w:t>
      </w:r>
      <w:r>
        <w:rPr>
          <w:b/>
          <w:bCs/>
        </w:rPr>
        <w:t>管灌及喷滴灌工程设施。</w:t>
      </w:r>
    </w:p>
    <w:p>
      <w:pPr>
        <w:ind w:firstLine="632"/>
      </w:pPr>
      <w:r>
        <w:t>保持管道通畅</w:t>
      </w:r>
      <w:r>
        <w:rPr>
          <w:rFonts w:hint="eastAsia"/>
        </w:rPr>
        <w:t>，</w:t>
      </w:r>
      <w:r>
        <w:t>无漏水现象</w:t>
      </w:r>
      <w:r>
        <w:rPr>
          <w:rFonts w:hint="eastAsia"/>
        </w:rPr>
        <w:t>；</w:t>
      </w:r>
      <w:r>
        <w:t>给水栓</w:t>
      </w:r>
      <w:r>
        <w:rPr>
          <w:rFonts w:hint="eastAsia"/>
        </w:rPr>
        <w:t>、</w:t>
      </w:r>
      <w:r>
        <w:t>控制阀门启闭灵活</w:t>
      </w:r>
      <w:r>
        <w:rPr>
          <w:rFonts w:hint="eastAsia"/>
        </w:rPr>
        <w:t>，</w:t>
      </w:r>
      <w:r>
        <w:t>安全保护装置功能可靠</w:t>
      </w:r>
      <w:r>
        <w:rPr>
          <w:rFonts w:hint="eastAsia"/>
        </w:rPr>
        <w:t>，</w:t>
      </w:r>
      <w:r>
        <w:t>地埋管道阀门井中无积水</w:t>
      </w:r>
      <w:r>
        <w:rPr>
          <w:rFonts w:hint="eastAsia"/>
        </w:rPr>
        <w:t>，</w:t>
      </w:r>
      <w:r>
        <w:t>量测仪表盘显示正常</w:t>
      </w:r>
      <w:r>
        <w:rPr>
          <w:rFonts w:hint="eastAsia"/>
        </w:rPr>
        <w:t>。</w:t>
      </w:r>
    </w:p>
    <w:p>
      <w:pPr>
        <w:ind w:left="632" w:leftChars="200" w:firstLine="0" w:firstLineChars="0"/>
        <w:rPr>
          <w:b/>
          <w:bCs/>
        </w:rPr>
      </w:pPr>
      <w:r>
        <w:rPr>
          <w:rFonts w:hint="eastAsia"/>
          <w:b/>
          <w:bCs/>
        </w:rPr>
        <w:t>五、</w:t>
      </w:r>
      <w:r>
        <w:rPr>
          <w:b/>
          <w:bCs/>
        </w:rPr>
        <w:t>田间道路设施。</w:t>
      </w:r>
    </w:p>
    <w:p>
      <w:pPr>
        <w:ind w:firstLine="632"/>
      </w:pPr>
      <w:r>
        <w:t>田间道路管护要维持路面平整</w:t>
      </w:r>
      <w:r>
        <w:rPr>
          <w:rFonts w:hint="eastAsia"/>
        </w:rPr>
        <w:t>，</w:t>
      </w:r>
      <w:r>
        <w:t>路沿石</w:t>
      </w:r>
      <w:r>
        <w:rPr>
          <w:rFonts w:hint="eastAsia"/>
        </w:rPr>
        <w:t>、</w:t>
      </w:r>
      <w:r>
        <w:t>砖完好平直</w:t>
      </w:r>
      <w:r>
        <w:rPr>
          <w:rFonts w:hint="eastAsia"/>
        </w:rPr>
        <w:t>，</w:t>
      </w:r>
      <w:r>
        <w:t>无杂草</w:t>
      </w:r>
      <w:r>
        <w:rPr>
          <w:rFonts w:hint="eastAsia"/>
        </w:rPr>
        <w:t>，</w:t>
      </w:r>
      <w:r>
        <w:t>无杂物</w:t>
      </w:r>
      <w:r>
        <w:rPr>
          <w:rFonts w:hint="eastAsia"/>
        </w:rPr>
        <w:t>，</w:t>
      </w:r>
      <w:r>
        <w:t>保持畅通</w:t>
      </w:r>
      <w:r>
        <w:rPr>
          <w:rFonts w:hint="eastAsia"/>
        </w:rPr>
        <w:t>，</w:t>
      </w:r>
      <w:r>
        <w:t>路碑</w:t>
      </w:r>
      <w:r>
        <w:rPr>
          <w:rFonts w:hint="eastAsia"/>
        </w:rPr>
        <w:t>、</w:t>
      </w:r>
      <w:r>
        <w:t>标志保持完好无损</w:t>
      </w:r>
      <w:r>
        <w:rPr>
          <w:rFonts w:hint="eastAsia"/>
        </w:rPr>
        <w:t>，</w:t>
      </w:r>
      <w:r>
        <w:t>清洁卫生</w:t>
      </w:r>
      <w:r>
        <w:rPr>
          <w:rFonts w:hint="eastAsia"/>
        </w:rPr>
        <w:t>。</w:t>
      </w:r>
    </w:p>
    <w:p>
      <w:pPr>
        <w:ind w:left="632" w:leftChars="200" w:firstLine="0" w:firstLineChars="0"/>
        <w:rPr>
          <w:b/>
          <w:bCs/>
        </w:rPr>
      </w:pPr>
      <w:r>
        <w:rPr>
          <w:rFonts w:hint="eastAsia"/>
          <w:b/>
          <w:bCs/>
        </w:rPr>
        <w:t>六、</w:t>
      </w:r>
      <w:r>
        <w:rPr>
          <w:b/>
          <w:bCs/>
        </w:rPr>
        <w:t>灾毁修复。</w:t>
      </w:r>
    </w:p>
    <w:p>
      <w:pPr>
        <w:ind w:firstLine="632"/>
      </w:pPr>
      <w:r>
        <w:t>各级主管部门应及时统筹安排灾毁修复专项资金</w:t>
      </w:r>
      <w:r>
        <w:rPr>
          <w:rFonts w:hint="eastAsia"/>
        </w:rPr>
        <w:t>，</w:t>
      </w:r>
      <w:r>
        <w:t>对因受台风</w:t>
      </w:r>
      <w:r>
        <w:rPr>
          <w:rFonts w:hint="eastAsia"/>
        </w:rPr>
        <w:t>、</w:t>
      </w:r>
      <w:r>
        <w:t>洪水等自然灾害影响受损严重的田间基础设施给予修复</w:t>
      </w:r>
      <w:r>
        <w:rPr>
          <w:rFonts w:hint="eastAsia"/>
        </w:rPr>
        <w:t>，</w:t>
      </w:r>
      <w:r>
        <w:t>确保恢复至灾毁前状态</w:t>
      </w:r>
      <w:r>
        <w:rPr>
          <w:rFonts w:hint="eastAsia"/>
        </w:rPr>
        <w:t>。</w:t>
      </w:r>
    </w:p>
    <w:p>
      <w:pPr>
        <w:pStyle w:val="5"/>
        <w:spacing w:before="93" w:after="93"/>
        <w:rPr>
          <w:kern w:val="0"/>
          <w:lang w:eastAsia="zh-CN"/>
        </w:rPr>
      </w:pPr>
      <w:bookmarkStart w:id="174" w:name="_Toc32151"/>
      <w:bookmarkStart w:id="175" w:name="_Toc12374"/>
      <w:bookmarkStart w:id="176" w:name="_Toc8137"/>
      <w:r>
        <w:rPr>
          <w:kern w:val="0"/>
          <w:lang w:eastAsia="zh-CN"/>
        </w:rPr>
        <w:t>第</w:t>
      </w:r>
      <w:r>
        <w:rPr>
          <w:rFonts w:hint="eastAsia"/>
          <w:kern w:val="0"/>
          <w:lang w:eastAsia="zh-CN"/>
        </w:rPr>
        <w:t>六</w:t>
      </w:r>
      <w:r>
        <w:rPr>
          <w:kern w:val="0"/>
          <w:lang w:eastAsia="zh-CN"/>
        </w:rPr>
        <w:t>节管护主体</w:t>
      </w:r>
      <w:bookmarkEnd w:id="174"/>
      <w:bookmarkEnd w:id="175"/>
      <w:bookmarkEnd w:id="176"/>
    </w:p>
    <w:p>
      <w:pPr>
        <w:ind w:firstLine="632"/>
      </w:pPr>
      <w:bookmarkStart w:id="177" w:name="_Toc13900"/>
      <w:r>
        <w:rPr>
          <w:rFonts w:hint="eastAsia"/>
        </w:rPr>
        <w:t>区</w:t>
      </w:r>
      <w:r>
        <w:t>人民政府农业农村主管部门按照“谁受益、谁管护，谁使用、谁管护”的原则明确工程管护主体，拟定管护制度，落实管护责任，保证工程在设计使用期限内正常运行。区级人民政府对建后管护负总责，</w:t>
      </w:r>
      <w:r>
        <w:rPr>
          <w:rFonts w:hint="eastAsia"/>
        </w:rPr>
        <w:t>区</w:t>
      </w:r>
      <w:r>
        <w:t>级农业农村局为高标准农田建后管护的业务主管部门，负责组织协调、监督指导和检查考核工作。项目所在乡镇为建后管护的监管主体，承担行政区域内高标准农田建后监管职责，负责监督、检查高标准农田工程设施管护责任的落实。村或其他经营主体是管护实施主体，要具体负责落实管护人员、对高标准农田工程设施的维修、养护和管理。施工单位根据高标准农田建设项目合同约定，在项目建设验收合格后，保修期内对进行保修。同时，结合实际，积极探索委托代管、第三方购买服务等管护新模式。</w:t>
      </w:r>
    </w:p>
    <w:p>
      <w:pPr>
        <w:pStyle w:val="5"/>
        <w:spacing w:before="93" w:after="93"/>
        <w:rPr>
          <w:kern w:val="0"/>
        </w:rPr>
      </w:pPr>
      <w:bookmarkStart w:id="178" w:name="_Toc3085"/>
      <w:bookmarkStart w:id="179" w:name="_Toc23772"/>
      <w:r>
        <w:rPr>
          <w:kern w:val="0"/>
        </w:rPr>
        <w:t>第</w:t>
      </w:r>
      <w:r>
        <w:rPr>
          <w:rFonts w:hint="eastAsia"/>
          <w:kern w:val="0"/>
          <w:lang w:eastAsia="zh-CN"/>
        </w:rPr>
        <w:t>七</w:t>
      </w:r>
      <w:r>
        <w:rPr>
          <w:kern w:val="0"/>
        </w:rPr>
        <w:t>节管护任务</w:t>
      </w:r>
      <w:bookmarkEnd w:id="177"/>
      <w:bookmarkEnd w:id="178"/>
      <w:bookmarkEnd w:id="179"/>
    </w:p>
    <w:p>
      <w:pPr>
        <w:numPr>
          <w:ilvl w:val="0"/>
          <w:numId w:val="12"/>
        </w:numPr>
        <w:ind w:firstLine="634"/>
        <w:rPr>
          <w:b/>
          <w:bCs/>
        </w:rPr>
      </w:pPr>
      <w:r>
        <w:rPr>
          <w:b/>
          <w:bCs/>
        </w:rPr>
        <w:t>管护设施。</w:t>
      </w:r>
    </w:p>
    <w:p>
      <w:pPr>
        <w:ind w:firstLine="632"/>
      </w:pPr>
      <w:r>
        <w:t>在工程设计使用年限内</w:t>
      </w:r>
      <w:r>
        <w:rPr>
          <w:rFonts w:hint="eastAsia"/>
        </w:rPr>
        <w:t>，</w:t>
      </w:r>
      <w:r>
        <w:t>重点加强项目灌排系统</w:t>
      </w:r>
      <w:r>
        <w:rPr>
          <w:rFonts w:hint="eastAsia"/>
        </w:rPr>
        <w:t>、</w:t>
      </w:r>
      <w:r>
        <w:t>农田防护</w:t>
      </w:r>
      <w:r>
        <w:rPr>
          <w:rFonts w:hint="eastAsia"/>
        </w:rPr>
        <w:t>、</w:t>
      </w:r>
      <w:r>
        <w:t>田间道路</w:t>
      </w:r>
      <w:r>
        <w:rPr>
          <w:rFonts w:hint="eastAsia"/>
        </w:rPr>
        <w:t>、</w:t>
      </w:r>
      <w:r>
        <w:t>农田林网</w:t>
      </w:r>
      <w:r>
        <w:rPr>
          <w:rFonts w:hint="eastAsia"/>
        </w:rPr>
        <w:t>、</w:t>
      </w:r>
      <w:r>
        <w:t>输配电等工程的管护</w:t>
      </w:r>
      <w:r>
        <w:rPr>
          <w:rFonts w:hint="eastAsia"/>
        </w:rPr>
        <w:t>，</w:t>
      </w:r>
      <w:r>
        <w:t>确保项目区灌排通畅</w:t>
      </w:r>
      <w:r>
        <w:rPr>
          <w:rFonts w:hint="eastAsia"/>
        </w:rPr>
        <w:t>、</w:t>
      </w:r>
      <w:r>
        <w:t>田间道路完好通达</w:t>
      </w:r>
      <w:r>
        <w:rPr>
          <w:rFonts w:hint="eastAsia"/>
        </w:rPr>
        <w:t>、</w:t>
      </w:r>
      <w:r>
        <w:t>各类设施及配套设施完好并能正常发挥作用。</w:t>
      </w:r>
    </w:p>
    <w:p>
      <w:pPr>
        <w:numPr>
          <w:ilvl w:val="0"/>
          <w:numId w:val="12"/>
        </w:numPr>
        <w:ind w:firstLine="634"/>
        <w:rPr>
          <w:b/>
          <w:bCs/>
        </w:rPr>
      </w:pPr>
      <w:r>
        <w:rPr>
          <w:b/>
          <w:bCs/>
        </w:rPr>
        <w:t>管护责任。</w:t>
      </w:r>
    </w:p>
    <w:p>
      <w:pPr>
        <w:ind w:firstLine="632"/>
      </w:pPr>
      <w:r>
        <w:t>日常管护工作由管护人员承担</w:t>
      </w:r>
      <w:r>
        <w:rPr>
          <w:rFonts w:hint="eastAsia"/>
        </w:rPr>
        <w:t>，</w:t>
      </w:r>
      <w:r>
        <w:t>包括日常巡视检查</w:t>
      </w:r>
      <w:r>
        <w:rPr>
          <w:rFonts w:hint="eastAsia"/>
        </w:rPr>
        <w:t>，</w:t>
      </w:r>
      <w:r>
        <w:t>泵站</w:t>
      </w:r>
      <w:r>
        <w:rPr>
          <w:rFonts w:hint="eastAsia"/>
        </w:rPr>
        <w:t>、</w:t>
      </w:r>
      <w:r>
        <w:t>闸门设备的日常保养维护</w:t>
      </w:r>
      <w:r>
        <w:rPr>
          <w:rFonts w:hint="eastAsia"/>
        </w:rPr>
        <w:t>，</w:t>
      </w:r>
      <w:r>
        <w:t>沟渠</w:t>
      </w:r>
      <w:r>
        <w:rPr>
          <w:rFonts w:hint="eastAsia"/>
        </w:rPr>
        <w:t>、</w:t>
      </w:r>
      <w:r>
        <w:t>沉砂池等日常清淤</w:t>
      </w:r>
      <w:r>
        <w:rPr>
          <w:rFonts w:hint="eastAsia"/>
        </w:rPr>
        <w:t>，</w:t>
      </w:r>
      <w:r>
        <w:t>防范田间道路</w:t>
      </w:r>
      <w:r>
        <w:rPr>
          <w:rFonts w:hint="eastAsia"/>
        </w:rPr>
        <w:t>、</w:t>
      </w:r>
      <w:r>
        <w:t>涵洞超载超标车辆通行等</w:t>
      </w:r>
      <w:r>
        <w:rPr>
          <w:rFonts w:hint="eastAsia"/>
        </w:rPr>
        <w:t>。</w:t>
      </w:r>
      <w:r>
        <w:t>专项管护工作由管护实施主体负责</w:t>
      </w:r>
      <w:r>
        <w:rPr>
          <w:rFonts w:hint="eastAsia"/>
        </w:rPr>
        <w:t>，</w:t>
      </w:r>
      <w:r>
        <w:t>主要对较大规模的沟渠进行维修清淤</w:t>
      </w:r>
      <w:r>
        <w:rPr>
          <w:rFonts w:hint="eastAsia"/>
        </w:rPr>
        <w:t>、</w:t>
      </w:r>
      <w:r>
        <w:t>道路修整</w:t>
      </w:r>
      <w:r>
        <w:rPr>
          <w:rFonts w:hint="eastAsia"/>
        </w:rPr>
        <w:t>、</w:t>
      </w:r>
      <w:r>
        <w:t>设备更换等</w:t>
      </w:r>
      <w:r>
        <w:rPr>
          <w:rFonts w:hint="eastAsia"/>
        </w:rPr>
        <w:t>。</w:t>
      </w:r>
      <w:r>
        <w:t>在质量保证期内由施工单位负责整改和维修</w:t>
      </w:r>
      <w:r>
        <w:rPr>
          <w:rFonts w:hint="eastAsia"/>
        </w:rPr>
        <w:t>；</w:t>
      </w:r>
      <w:r>
        <w:t>因机械作业或人为故意损坏的</w:t>
      </w:r>
      <w:r>
        <w:rPr>
          <w:rFonts w:hint="eastAsia"/>
        </w:rPr>
        <w:t>，</w:t>
      </w:r>
      <w:r>
        <w:t>按照</w:t>
      </w:r>
      <w:r>
        <w:rPr>
          <w:rFonts w:hint="eastAsia"/>
        </w:rPr>
        <w:t>“</w:t>
      </w:r>
      <w:r>
        <w:t>谁破坏</w:t>
      </w:r>
      <w:r>
        <w:rPr>
          <w:rFonts w:hint="eastAsia"/>
        </w:rPr>
        <w:t>、</w:t>
      </w:r>
      <w:r>
        <w:t>谁维修</w:t>
      </w:r>
      <w:r>
        <w:rPr>
          <w:rFonts w:hint="eastAsia"/>
        </w:rPr>
        <w:t>”</w:t>
      </w:r>
      <w:r>
        <w:t>的原则</w:t>
      </w:r>
      <w:r>
        <w:rPr>
          <w:rFonts w:hint="eastAsia"/>
        </w:rPr>
        <w:t>，</w:t>
      </w:r>
      <w:r>
        <w:t>由管护实施主体责成损坏人予以修复或缴纳维修费。管护人员应经常对高标准农田进行巡查</w:t>
      </w:r>
      <w:r>
        <w:rPr>
          <w:rFonts w:hint="eastAsia"/>
        </w:rPr>
        <w:t>，</w:t>
      </w:r>
      <w:r>
        <w:t>每月对高标准农田工程设施巡查不少于两次</w:t>
      </w:r>
      <w:r>
        <w:rPr>
          <w:rFonts w:hint="eastAsia"/>
        </w:rPr>
        <w:t>，</w:t>
      </w:r>
      <w:r>
        <w:t>农忙时期每天巡查不少于一次</w:t>
      </w:r>
      <w:r>
        <w:rPr>
          <w:rFonts w:hint="eastAsia"/>
        </w:rPr>
        <w:t>，</w:t>
      </w:r>
      <w:r>
        <w:t>并及时填写巡查记录表</w:t>
      </w:r>
      <w:r>
        <w:rPr>
          <w:rFonts w:hint="eastAsia"/>
        </w:rPr>
        <w:t>。</w:t>
      </w:r>
      <w:r>
        <w:t>乡</w:t>
      </w:r>
      <w:r>
        <w:rPr>
          <w:rFonts w:hint="eastAsia"/>
        </w:rPr>
        <w:t>（</w:t>
      </w:r>
      <w:r>
        <w:t>镇</w:t>
      </w:r>
      <w:r>
        <w:rPr>
          <w:rFonts w:hint="eastAsia"/>
        </w:rPr>
        <w:t>）</w:t>
      </w:r>
      <w:r>
        <w:t>政府和管护人员都应建立管护台帐</w:t>
      </w:r>
      <w:r>
        <w:rPr>
          <w:rFonts w:hint="eastAsia"/>
        </w:rPr>
        <w:t>，</w:t>
      </w:r>
      <w:r>
        <w:t>记录管护情况</w:t>
      </w:r>
      <w:r>
        <w:rPr>
          <w:rFonts w:hint="eastAsia"/>
        </w:rPr>
        <w:t>。</w:t>
      </w:r>
    </w:p>
    <w:p>
      <w:pPr>
        <w:numPr>
          <w:ilvl w:val="0"/>
          <w:numId w:val="12"/>
        </w:numPr>
        <w:ind w:firstLine="634"/>
        <w:rPr>
          <w:b/>
          <w:bCs/>
        </w:rPr>
      </w:pPr>
      <w:r>
        <w:rPr>
          <w:b/>
          <w:bCs/>
        </w:rPr>
        <w:t>保护利用。</w:t>
      </w:r>
    </w:p>
    <w:p>
      <w:pPr>
        <w:ind w:firstLine="632"/>
      </w:pPr>
      <w:r>
        <w:t>对建成的高标准农田</w:t>
      </w:r>
      <w:r>
        <w:rPr>
          <w:rFonts w:hint="eastAsia"/>
        </w:rPr>
        <w:t>，</w:t>
      </w:r>
      <w:r>
        <w:t>符合条件的要划为永久基本农田或永久基本农田储备区</w:t>
      </w:r>
      <w:r>
        <w:rPr>
          <w:rFonts w:hint="eastAsia"/>
        </w:rPr>
        <w:t>，</w:t>
      </w:r>
      <w:r>
        <w:t>实行特殊保护</w:t>
      </w:r>
      <w:r>
        <w:rPr>
          <w:rFonts w:hint="eastAsia"/>
        </w:rPr>
        <w:t>，</w:t>
      </w:r>
      <w:r>
        <w:t>严格禁止</w:t>
      </w:r>
      <w:r>
        <w:rPr>
          <w:rFonts w:hint="eastAsia"/>
        </w:rPr>
        <w:t>“</w:t>
      </w:r>
      <w:r>
        <w:t>非农化</w:t>
      </w:r>
      <w:r>
        <w:rPr>
          <w:rFonts w:hint="eastAsia"/>
        </w:rPr>
        <w:t>”，</w:t>
      </w:r>
      <w:r>
        <w:t>防止</w:t>
      </w:r>
      <w:r>
        <w:rPr>
          <w:rFonts w:hint="eastAsia"/>
        </w:rPr>
        <w:t>“</w:t>
      </w:r>
      <w:r>
        <w:t>非粮化</w:t>
      </w:r>
      <w:r>
        <w:rPr>
          <w:rFonts w:hint="eastAsia"/>
        </w:rPr>
        <w:t>”，</w:t>
      </w:r>
      <w:r>
        <w:t>任何单位和个人不得损毁</w:t>
      </w:r>
      <w:r>
        <w:rPr>
          <w:rFonts w:hint="eastAsia"/>
        </w:rPr>
        <w:t>、</w:t>
      </w:r>
      <w:r>
        <w:t>擅自占用或改变用途</w:t>
      </w:r>
      <w:r>
        <w:rPr>
          <w:rFonts w:hint="eastAsia"/>
        </w:rPr>
        <w:t>。</w:t>
      </w:r>
      <w:r>
        <w:t>严格耕地占用审批</w:t>
      </w:r>
      <w:r>
        <w:rPr>
          <w:rFonts w:hint="eastAsia"/>
        </w:rPr>
        <w:t>，</w:t>
      </w:r>
      <w:r>
        <w:t>经依法批准占用高标准农田的</w:t>
      </w:r>
      <w:r>
        <w:rPr>
          <w:rFonts w:hint="eastAsia"/>
        </w:rPr>
        <w:t>，</w:t>
      </w:r>
      <w:r>
        <w:t>要及时补充</w:t>
      </w:r>
      <w:r>
        <w:rPr>
          <w:rFonts w:hint="eastAsia"/>
        </w:rPr>
        <w:t>，</w:t>
      </w:r>
      <w:r>
        <w:t>确保高标准农田数量不减少</w:t>
      </w:r>
      <w:r>
        <w:rPr>
          <w:rFonts w:hint="eastAsia"/>
        </w:rPr>
        <w:t>、</w:t>
      </w:r>
      <w:r>
        <w:t>质量不降低</w:t>
      </w:r>
      <w:r>
        <w:rPr>
          <w:rFonts w:hint="eastAsia"/>
        </w:rPr>
        <w:t>。</w:t>
      </w:r>
      <w:r>
        <w:t>对水毁等自然损毁的高标准农田</w:t>
      </w:r>
      <w:r>
        <w:rPr>
          <w:rFonts w:hint="eastAsia"/>
        </w:rPr>
        <w:t>，</w:t>
      </w:r>
      <w:r>
        <w:t>要纳入年度建设任务</w:t>
      </w:r>
      <w:r>
        <w:rPr>
          <w:rFonts w:hint="eastAsia"/>
        </w:rPr>
        <w:t>，</w:t>
      </w:r>
      <w:r>
        <w:t>及时进行修复或补充。引导高标准农田集中用于重要农产品特别是粮食生产。探索合理耕作制度</w:t>
      </w:r>
      <w:r>
        <w:rPr>
          <w:rFonts w:hint="eastAsia"/>
        </w:rPr>
        <w:t>，</w:t>
      </w:r>
      <w:r>
        <w:t>实行用地养地相结合</w:t>
      </w:r>
      <w:r>
        <w:rPr>
          <w:rFonts w:hint="eastAsia"/>
        </w:rPr>
        <w:t>，</w:t>
      </w:r>
      <w:r>
        <w:t>加强后续培肥</w:t>
      </w:r>
      <w:r>
        <w:rPr>
          <w:rFonts w:hint="eastAsia"/>
        </w:rPr>
        <w:t>，</w:t>
      </w:r>
      <w:r>
        <w:t>防止地力下降。严禁项目区内种植破坏耕作层的树木。严禁将不符合农田灌溉标准的废水排入农田</w:t>
      </w:r>
      <w:r>
        <w:rPr>
          <w:rFonts w:hint="eastAsia"/>
        </w:rPr>
        <w:t>，</w:t>
      </w:r>
      <w:r>
        <w:t>严禁将生活垃圾</w:t>
      </w:r>
      <w:r>
        <w:rPr>
          <w:rFonts w:hint="eastAsia"/>
        </w:rPr>
        <w:t>、</w:t>
      </w:r>
      <w:r>
        <w:t>工业废弃物等倾倒</w:t>
      </w:r>
      <w:r>
        <w:rPr>
          <w:rFonts w:hint="eastAsia"/>
        </w:rPr>
        <w:t>、</w:t>
      </w:r>
      <w:r>
        <w:t>排放</w:t>
      </w:r>
      <w:r>
        <w:rPr>
          <w:rFonts w:hint="eastAsia"/>
        </w:rPr>
        <w:t>、</w:t>
      </w:r>
      <w:r>
        <w:t>堆存到农田。</w:t>
      </w:r>
    </w:p>
    <w:p>
      <w:pPr>
        <w:pStyle w:val="5"/>
        <w:spacing w:before="93" w:after="93"/>
        <w:rPr>
          <w:kern w:val="0"/>
          <w:lang w:eastAsia="zh-CN"/>
        </w:rPr>
      </w:pPr>
      <w:bookmarkStart w:id="180" w:name="_Toc27354"/>
      <w:bookmarkStart w:id="181" w:name="_Toc21929"/>
      <w:bookmarkStart w:id="182" w:name="_Toc1187"/>
      <w:r>
        <w:rPr>
          <w:kern w:val="0"/>
          <w:lang w:eastAsia="zh-CN"/>
        </w:rPr>
        <w:t>第</w:t>
      </w:r>
      <w:r>
        <w:rPr>
          <w:rFonts w:hint="eastAsia"/>
          <w:kern w:val="0"/>
          <w:lang w:eastAsia="zh-CN"/>
        </w:rPr>
        <w:t>八</w:t>
      </w:r>
      <w:r>
        <w:rPr>
          <w:kern w:val="0"/>
          <w:lang w:eastAsia="zh-CN"/>
        </w:rPr>
        <w:t>节管护考核</w:t>
      </w:r>
      <w:bookmarkEnd w:id="180"/>
      <w:bookmarkEnd w:id="181"/>
      <w:bookmarkEnd w:id="182"/>
    </w:p>
    <w:p>
      <w:pPr>
        <w:ind w:firstLine="632"/>
        <w:sectPr>
          <w:pgSz w:w="11906" w:h="16838"/>
          <w:pgMar w:top="1440" w:right="1800" w:bottom="1440" w:left="1800" w:header="851" w:footer="992" w:gutter="0"/>
          <w:cols w:space="425" w:num="1"/>
          <w:docGrid w:type="lines" w:linePitch="312" w:charSpace="0"/>
        </w:sectPr>
      </w:pPr>
      <w:r>
        <w:t>各地要加强对建后管护工作的检查督导</w:t>
      </w:r>
      <w:r>
        <w:rPr>
          <w:rFonts w:hint="eastAsia"/>
        </w:rPr>
        <w:t>，</w:t>
      </w:r>
      <w:r>
        <w:t>将其与推进高标准农田建设同部署</w:t>
      </w:r>
      <w:r>
        <w:rPr>
          <w:rFonts w:hint="eastAsia"/>
        </w:rPr>
        <w:t>、</w:t>
      </w:r>
      <w:r>
        <w:t>同督查</w:t>
      </w:r>
      <w:r>
        <w:rPr>
          <w:rFonts w:hint="eastAsia"/>
        </w:rPr>
        <w:t>、</w:t>
      </w:r>
      <w:r>
        <w:t>同考核</w:t>
      </w:r>
      <w:r>
        <w:rPr>
          <w:rFonts w:hint="eastAsia"/>
        </w:rPr>
        <w:t>、</w:t>
      </w:r>
      <w:r>
        <w:t>同奖惩。</w:t>
      </w:r>
      <w:r>
        <w:rPr>
          <w:rFonts w:hint="eastAsia"/>
        </w:rPr>
        <w:t>全区</w:t>
      </w:r>
      <w:r>
        <w:t>高标准农田建设绩效考评奖励</w:t>
      </w:r>
      <w:r>
        <w:rPr>
          <w:rFonts w:hint="eastAsia"/>
        </w:rPr>
        <w:t>，</w:t>
      </w:r>
      <w:r>
        <w:t>将建后管护作为重要考核内容</w:t>
      </w:r>
      <w:r>
        <w:rPr>
          <w:rFonts w:hint="eastAsia"/>
        </w:rPr>
        <w:t>，</w:t>
      </w:r>
      <w:r>
        <w:t>进一步提高评价指标权重</w:t>
      </w:r>
      <w:r>
        <w:rPr>
          <w:rFonts w:hint="eastAsia"/>
        </w:rPr>
        <w:t>。各乡镇</w:t>
      </w:r>
      <w:r>
        <w:t>要制定相应的考核奖励办法</w:t>
      </w:r>
      <w:r>
        <w:rPr>
          <w:rFonts w:hint="eastAsia"/>
        </w:rPr>
        <w:t>，</w:t>
      </w:r>
      <w:r>
        <w:t>将建后管护纳入推进高标准农田建设工作考核重要指标</w:t>
      </w:r>
      <w:r>
        <w:rPr>
          <w:rFonts w:hint="eastAsia"/>
        </w:rPr>
        <w:t>，</w:t>
      </w:r>
      <w:r>
        <w:t>作为年度考核评先评优的重要内容。根据农田建设项目和资金管理有关制度规定</w:t>
      </w:r>
      <w:r>
        <w:rPr>
          <w:rFonts w:hint="eastAsia"/>
        </w:rPr>
        <w:t>，</w:t>
      </w:r>
      <w:r>
        <w:t>各地要建立健全管护制度</w:t>
      </w:r>
      <w:r>
        <w:rPr>
          <w:rFonts w:hint="eastAsia"/>
        </w:rPr>
        <w:t>，</w:t>
      </w:r>
      <w:r>
        <w:t>进一步规范管理部门</w:t>
      </w:r>
      <w:r>
        <w:rPr>
          <w:rFonts w:hint="eastAsia"/>
        </w:rPr>
        <w:t>、</w:t>
      </w:r>
      <w:r>
        <w:t>各类责任主体在管护工作中的职责</w:t>
      </w:r>
      <w:r>
        <w:rPr>
          <w:rFonts w:hint="eastAsia"/>
        </w:rPr>
        <w:t>，</w:t>
      </w:r>
      <w:r>
        <w:t>明确管护经费来源以及管护标准</w:t>
      </w:r>
      <w:r>
        <w:rPr>
          <w:rFonts w:hint="eastAsia"/>
        </w:rPr>
        <w:t>，</w:t>
      </w:r>
      <w:r>
        <w:t>夯实管护基础</w:t>
      </w:r>
      <w:r>
        <w:rPr>
          <w:rFonts w:hint="eastAsia"/>
        </w:rPr>
        <w:t>，</w:t>
      </w:r>
      <w:r>
        <w:t>强化监督评价</w:t>
      </w:r>
      <w:r>
        <w:rPr>
          <w:rFonts w:hint="eastAsia"/>
        </w:rPr>
        <w:t>，</w:t>
      </w:r>
      <w:r>
        <w:t>推进农田建设工程建后管护全域化</w:t>
      </w:r>
      <w:r>
        <w:rPr>
          <w:rFonts w:hint="eastAsia"/>
        </w:rPr>
        <w:t>、</w:t>
      </w:r>
      <w:r>
        <w:t>常态化</w:t>
      </w:r>
      <w:r>
        <w:rPr>
          <w:rFonts w:hint="eastAsia"/>
        </w:rPr>
        <w:t>、</w:t>
      </w:r>
      <w:r>
        <w:t>长效化。继续探索推行多位一体</w:t>
      </w:r>
      <w:r>
        <w:rPr>
          <w:rFonts w:hint="eastAsia"/>
        </w:rPr>
        <w:t>、</w:t>
      </w:r>
      <w:r>
        <w:t>委托代管</w:t>
      </w:r>
      <w:r>
        <w:rPr>
          <w:rFonts w:hint="eastAsia"/>
        </w:rPr>
        <w:t>、</w:t>
      </w:r>
      <w:r>
        <w:t>购买服务等管护新模式</w:t>
      </w:r>
      <w:r>
        <w:rPr>
          <w:rFonts w:hint="eastAsia"/>
        </w:rPr>
        <w:t>，</w:t>
      </w:r>
      <w:r>
        <w:t>完善相关管护制度</w:t>
      </w:r>
      <w:r>
        <w:rPr>
          <w:rFonts w:hint="eastAsia"/>
        </w:rPr>
        <w:t>。</w:t>
      </w:r>
    </w:p>
    <w:p>
      <w:pPr>
        <w:pStyle w:val="3"/>
      </w:pPr>
      <w:bookmarkStart w:id="183" w:name="_Toc24624"/>
      <w:bookmarkStart w:id="184" w:name="_Toc29311"/>
      <w:bookmarkStart w:id="185" w:name="_Toc20874"/>
      <w:r>
        <w:t>第</w:t>
      </w:r>
      <w:r>
        <w:rPr>
          <w:rFonts w:hint="eastAsia"/>
        </w:rPr>
        <w:t>六</w:t>
      </w:r>
      <w:r>
        <w:t>章</w:t>
      </w:r>
      <w:r>
        <w:rPr>
          <w:rFonts w:hint="eastAsia"/>
        </w:rPr>
        <w:t>投资估算</w:t>
      </w:r>
      <w:bookmarkEnd w:id="183"/>
      <w:r>
        <w:rPr>
          <w:rFonts w:hint="eastAsia"/>
        </w:rPr>
        <w:t>和资金筹措</w:t>
      </w:r>
      <w:bookmarkEnd w:id="184"/>
    </w:p>
    <w:p>
      <w:pPr>
        <w:pStyle w:val="5"/>
        <w:spacing w:before="93" w:after="93"/>
        <w:rPr>
          <w:kern w:val="0"/>
          <w:lang w:eastAsia="zh-CN"/>
        </w:rPr>
      </w:pPr>
      <w:bookmarkStart w:id="186" w:name="_Toc29607"/>
      <w:bookmarkStart w:id="187" w:name="_Toc6021"/>
      <w:r>
        <w:rPr>
          <w:rFonts w:hint="eastAsia"/>
          <w:kern w:val="0"/>
          <w:lang w:eastAsia="zh-CN"/>
        </w:rPr>
        <w:t>第一节投资估算</w:t>
      </w:r>
      <w:bookmarkEnd w:id="186"/>
      <w:bookmarkEnd w:id="187"/>
    </w:p>
    <w:p>
      <w:pPr>
        <w:ind w:firstLine="632"/>
      </w:pPr>
      <w:r>
        <w:rPr>
          <w:rFonts w:hint="eastAsia"/>
        </w:rPr>
        <w:t>根据三元区历年开展的高标准农田建设项目的工程建设内容及资金需求，结合政府投资的资金预算，同时考虑不同类型高标准农田建设的资金需求差异，规划期间，2021年-2022年三元区高标准农田建设项目按每亩1600元估算，三元区改造提升高标准农田项目按每亩2500元估算；2023年开始三元区高标准农田建设项目按每亩2400元估算，具体由当年情况为准。本次规划三元区高标准农田建设项目和三元区高标准农田改造提升建设项目总投资约9099.9万元。具体项目见下表。</w:t>
      </w:r>
    </w:p>
    <w:p>
      <w:pPr>
        <w:ind w:firstLine="0" w:firstLineChars="0"/>
        <w:jc w:val="center"/>
        <w:rPr>
          <w:b/>
          <w:bCs/>
        </w:rPr>
      </w:pPr>
      <w:r>
        <w:rPr>
          <w:rFonts w:hint="eastAsia"/>
          <w:b/>
          <w:bCs/>
        </w:rPr>
        <w:t>三元区2021-2030年期间高标准农田建设项目投资情况表</w:t>
      </w:r>
    </w:p>
    <w:tbl>
      <w:tblPr>
        <w:tblStyle w:val="1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1461"/>
        <w:gridCol w:w="1373"/>
        <w:gridCol w:w="2562"/>
        <w:gridCol w:w="943"/>
        <w:gridCol w:w="1283"/>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blHeader/>
        </w:trPr>
        <w:tc>
          <w:tcPr>
            <w:tcW w:w="259" w:type="pct"/>
            <w:noWrap/>
            <w:tcMar>
              <w:top w:w="15" w:type="dxa"/>
              <w:left w:w="15" w:type="dxa"/>
              <w:right w:w="15" w:type="dxa"/>
            </w:tcMar>
            <w:vAlign w:val="center"/>
          </w:tcPr>
          <w:p>
            <w:pPr>
              <w:pStyle w:val="6"/>
              <w:jc w:val="center"/>
              <w:rPr>
                <w:b/>
                <w:bCs/>
                <w:lang w:eastAsia="zh-CN"/>
              </w:rPr>
            </w:pPr>
            <w:r>
              <w:rPr>
                <w:rFonts w:hint="eastAsia"/>
                <w:b/>
                <w:bCs/>
                <w:lang w:eastAsia="zh-CN"/>
              </w:rPr>
              <w:t>序号</w:t>
            </w:r>
          </w:p>
        </w:tc>
        <w:tc>
          <w:tcPr>
            <w:tcW w:w="1533" w:type="pct"/>
            <w:gridSpan w:val="2"/>
            <w:noWrap/>
            <w:tcMar>
              <w:top w:w="15" w:type="dxa"/>
              <w:left w:w="15" w:type="dxa"/>
              <w:right w:w="15" w:type="dxa"/>
            </w:tcMar>
            <w:vAlign w:val="center"/>
          </w:tcPr>
          <w:p>
            <w:pPr>
              <w:pStyle w:val="6"/>
              <w:jc w:val="center"/>
              <w:rPr>
                <w:rFonts w:ascii="Times New Roman" w:hAnsi="Times New Roman" w:cs="Times New Roman"/>
                <w:b/>
                <w:bCs/>
                <w:kern w:val="0"/>
                <w:lang w:eastAsia="zh-CN"/>
              </w:rPr>
            </w:pPr>
            <w:r>
              <w:rPr>
                <w:rFonts w:hint="eastAsia" w:ascii="Times New Roman" w:hAnsi="Times New Roman" w:cs="Times New Roman"/>
                <w:b/>
                <w:bCs/>
                <w:kern w:val="0"/>
                <w:lang w:eastAsia="zh-CN"/>
              </w:rPr>
              <w:t>年度</w:t>
            </w:r>
          </w:p>
        </w:tc>
        <w:tc>
          <w:tcPr>
            <w:tcW w:w="1386"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建设类型</w:t>
            </w:r>
          </w:p>
        </w:tc>
        <w:tc>
          <w:tcPr>
            <w:tcW w:w="510"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任务数</w:t>
            </w:r>
          </w:p>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（亩）</w:t>
            </w:r>
          </w:p>
        </w:tc>
        <w:tc>
          <w:tcPr>
            <w:tcW w:w="694"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每亩投资</w:t>
            </w:r>
          </w:p>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（元）</w:t>
            </w:r>
          </w:p>
        </w:tc>
        <w:tc>
          <w:tcPr>
            <w:tcW w:w="616" w:type="pct"/>
            <w:noWrap/>
            <w:tcMar>
              <w:top w:w="15" w:type="dxa"/>
              <w:left w:w="15" w:type="dxa"/>
              <w:right w:w="15" w:type="dxa"/>
            </w:tcMar>
            <w:vAlign w:val="center"/>
          </w:tcPr>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总投资</w:t>
            </w:r>
          </w:p>
          <w:p>
            <w:pPr>
              <w:pStyle w:val="6"/>
              <w:jc w:val="center"/>
              <w:rPr>
                <w:rFonts w:ascii="Times New Roman" w:hAnsi="Times New Roman" w:cs="Times New Roman"/>
                <w:b/>
                <w:bCs/>
                <w:lang w:eastAsia="zh-CN"/>
              </w:rPr>
            </w:pPr>
            <w:r>
              <w:rPr>
                <w:rFonts w:hint="eastAsia" w:ascii="Times New Roman" w:hAnsi="Times New Roman" w:cs="Times New Roman"/>
                <w:b/>
                <w:bCs/>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259" w:type="pct"/>
            <w:noWrap/>
            <w:tcMar>
              <w:top w:w="15" w:type="dxa"/>
              <w:left w:w="15" w:type="dxa"/>
              <w:right w:w="15" w:type="dxa"/>
            </w:tcMar>
            <w:vAlign w:val="center"/>
          </w:tcPr>
          <w:p>
            <w:pPr>
              <w:pStyle w:val="6"/>
              <w:jc w:val="center"/>
              <w:rPr>
                <w:lang w:eastAsia="zh-CN"/>
              </w:rPr>
            </w:pPr>
            <w:r>
              <w:rPr>
                <w:rFonts w:hint="eastAsia"/>
                <w:lang w:eastAsia="zh-CN"/>
              </w:rPr>
              <w:t>1</w:t>
            </w:r>
          </w:p>
        </w:tc>
        <w:tc>
          <w:tcPr>
            <w:tcW w:w="790" w:type="pct"/>
            <w:vMerge w:val="restart"/>
            <w:noWrap/>
            <w:tcMar>
              <w:top w:w="15" w:type="dxa"/>
              <w:left w:w="15" w:type="dxa"/>
              <w:right w:w="15" w:type="dxa"/>
            </w:tcMar>
            <w:vAlign w:val="center"/>
          </w:tcPr>
          <w:p>
            <w:pPr>
              <w:pStyle w:val="6"/>
              <w:jc w:val="center"/>
              <w:rPr>
                <w:lang w:eastAsia="zh-CN"/>
              </w:rPr>
            </w:pPr>
            <w:r>
              <w:rPr>
                <w:rFonts w:hint="eastAsia" w:ascii="Times New Roman" w:hAnsi="Times New Roman" w:cs="Times New Roman"/>
                <w:lang w:eastAsia="zh-CN"/>
              </w:rPr>
              <w:t>2021-2025</w:t>
            </w:r>
          </w:p>
        </w:tc>
        <w:tc>
          <w:tcPr>
            <w:tcW w:w="742" w:type="pct"/>
            <w:vMerge w:val="restar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2021-2022</w:t>
            </w:r>
          </w:p>
        </w:tc>
        <w:tc>
          <w:tcPr>
            <w:tcW w:w="138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新建高标准农田</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6500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259" w:type="pct"/>
            <w:noWrap/>
            <w:tcMar>
              <w:top w:w="15" w:type="dxa"/>
              <w:left w:w="15" w:type="dxa"/>
              <w:right w:w="15" w:type="dxa"/>
            </w:tcMar>
            <w:vAlign w:val="center"/>
          </w:tcPr>
          <w:p>
            <w:pPr>
              <w:pStyle w:val="6"/>
              <w:jc w:val="center"/>
              <w:rPr>
                <w:lang w:eastAsia="zh-CN"/>
              </w:rPr>
            </w:pPr>
            <w:r>
              <w:rPr>
                <w:rFonts w:hint="eastAsia"/>
                <w:lang w:eastAsia="zh-CN"/>
              </w:rPr>
              <w:t>2</w:t>
            </w:r>
          </w:p>
        </w:tc>
        <w:tc>
          <w:tcPr>
            <w:tcW w:w="790" w:type="pct"/>
            <w:vMerge w:val="continue"/>
            <w:noWrap/>
            <w:tcMar>
              <w:top w:w="15" w:type="dxa"/>
              <w:left w:w="15" w:type="dxa"/>
              <w:right w:w="15" w:type="dxa"/>
            </w:tcMar>
            <w:vAlign w:val="center"/>
          </w:tcPr>
          <w:p>
            <w:pPr>
              <w:pStyle w:val="6"/>
              <w:jc w:val="center"/>
              <w:rPr>
                <w:lang w:eastAsia="zh-CN"/>
              </w:rPr>
            </w:pPr>
          </w:p>
        </w:tc>
        <w:tc>
          <w:tcPr>
            <w:tcW w:w="742" w:type="pct"/>
            <w:vMerge w:val="continue"/>
            <w:noWrap/>
            <w:tcMar>
              <w:top w:w="15" w:type="dxa"/>
              <w:left w:w="15" w:type="dxa"/>
              <w:right w:w="15" w:type="dxa"/>
            </w:tcMar>
            <w:vAlign w:val="center"/>
          </w:tcPr>
          <w:p>
            <w:pPr>
              <w:pStyle w:val="6"/>
              <w:jc w:val="center"/>
              <w:rPr>
                <w:rFonts w:ascii="Times New Roman" w:hAnsi="Times New Roman" w:cs="Times New Roman"/>
                <w:lang w:eastAsia="zh-CN"/>
              </w:rPr>
            </w:pPr>
          </w:p>
        </w:tc>
        <w:tc>
          <w:tcPr>
            <w:tcW w:w="138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改造提升高标准农田</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2500</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259" w:type="pct"/>
            <w:noWrap/>
            <w:tcMar>
              <w:top w:w="15" w:type="dxa"/>
              <w:left w:w="15" w:type="dxa"/>
              <w:right w:w="15" w:type="dxa"/>
            </w:tcMar>
            <w:vAlign w:val="center"/>
          </w:tcPr>
          <w:p>
            <w:pPr>
              <w:pStyle w:val="6"/>
              <w:jc w:val="center"/>
              <w:rPr>
                <w:lang w:eastAsia="zh-CN"/>
              </w:rPr>
            </w:pPr>
            <w:r>
              <w:rPr>
                <w:rFonts w:hint="eastAsia"/>
                <w:lang w:eastAsia="zh-CN"/>
              </w:rPr>
              <w:t>3</w:t>
            </w:r>
          </w:p>
        </w:tc>
        <w:tc>
          <w:tcPr>
            <w:tcW w:w="790" w:type="pct"/>
            <w:vMerge w:val="continue"/>
            <w:noWrap/>
            <w:tcMar>
              <w:top w:w="15" w:type="dxa"/>
              <w:left w:w="15" w:type="dxa"/>
              <w:right w:w="15" w:type="dxa"/>
            </w:tcMar>
            <w:vAlign w:val="center"/>
          </w:tcPr>
          <w:p>
            <w:pPr>
              <w:pStyle w:val="6"/>
              <w:jc w:val="center"/>
              <w:rPr>
                <w:lang w:eastAsia="zh-CN"/>
              </w:rPr>
            </w:pPr>
          </w:p>
        </w:tc>
        <w:tc>
          <w:tcPr>
            <w:tcW w:w="742" w:type="pct"/>
            <w:vMerge w:val="restar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2023-2025</w:t>
            </w:r>
          </w:p>
        </w:tc>
        <w:tc>
          <w:tcPr>
            <w:tcW w:w="138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新建高标准农田</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2770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2400</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664.8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9" w:type="pct"/>
            <w:noWrap/>
            <w:tcMar>
              <w:top w:w="15" w:type="dxa"/>
              <w:left w:w="15" w:type="dxa"/>
              <w:right w:w="15" w:type="dxa"/>
            </w:tcMar>
            <w:vAlign w:val="center"/>
          </w:tcPr>
          <w:p>
            <w:pPr>
              <w:pStyle w:val="6"/>
              <w:jc w:val="center"/>
              <w:rPr>
                <w:lang w:eastAsia="zh-CN"/>
              </w:rPr>
            </w:pPr>
            <w:r>
              <w:rPr>
                <w:rFonts w:hint="eastAsia"/>
                <w:lang w:eastAsia="zh-CN"/>
              </w:rPr>
              <w:t>4</w:t>
            </w:r>
          </w:p>
        </w:tc>
        <w:tc>
          <w:tcPr>
            <w:tcW w:w="790" w:type="pct"/>
            <w:vMerge w:val="continue"/>
            <w:noWrap/>
            <w:tcMar>
              <w:top w:w="15" w:type="dxa"/>
              <w:left w:w="15" w:type="dxa"/>
              <w:right w:w="15" w:type="dxa"/>
            </w:tcMar>
            <w:vAlign w:val="center"/>
          </w:tcPr>
          <w:p>
            <w:pPr>
              <w:pStyle w:val="6"/>
              <w:jc w:val="center"/>
              <w:rPr>
                <w:lang w:eastAsia="zh-CN"/>
              </w:rPr>
            </w:pPr>
          </w:p>
        </w:tc>
        <w:tc>
          <w:tcPr>
            <w:tcW w:w="742" w:type="pct"/>
            <w:vMerge w:val="continue"/>
            <w:noWrap/>
            <w:tcMar>
              <w:top w:w="15" w:type="dxa"/>
              <w:left w:w="15" w:type="dxa"/>
              <w:right w:w="15" w:type="dxa"/>
            </w:tcMar>
            <w:vAlign w:val="center"/>
          </w:tcPr>
          <w:p>
            <w:pPr>
              <w:pStyle w:val="6"/>
              <w:jc w:val="center"/>
              <w:rPr>
                <w:rFonts w:ascii="Times New Roman" w:hAnsi="Times New Roman" w:cs="Times New Roman"/>
                <w:lang w:eastAsia="zh-CN"/>
              </w:rPr>
            </w:pPr>
          </w:p>
        </w:tc>
        <w:tc>
          <w:tcPr>
            <w:tcW w:w="138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改造提升高标准农田</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10700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2500</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259" w:type="pct"/>
            <w:noWrap/>
            <w:tcMar>
              <w:top w:w="15" w:type="dxa"/>
              <w:left w:w="15" w:type="dxa"/>
              <w:right w:w="15" w:type="dxa"/>
            </w:tcMar>
            <w:vAlign w:val="center"/>
          </w:tcPr>
          <w:p>
            <w:pPr>
              <w:pStyle w:val="6"/>
              <w:jc w:val="center"/>
              <w:rPr>
                <w:lang w:eastAsia="zh-CN"/>
              </w:rPr>
            </w:pPr>
            <w:r>
              <w:rPr>
                <w:rFonts w:hint="eastAsia"/>
                <w:lang w:eastAsia="zh-CN"/>
              </w:rPr>
              <w:t>5</w:t>
            </w:r>
          </w:p>
        </w:tc>
        <w:tc>
          <w:tcPr>
            <w:tcW w:w="1533" w:type="pct"/>
            <w:gridSpan w:val="2"/>
            <w:vMerge w:val="restar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2026-2030</w:t>
            </w:r>
          </w:p>
        </w:tc>
        <w:tc>
          <w:tcPr>
            <w:tcW w:w="138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新建高标准农田</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13340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2400</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3201.6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259" w:type="pct"/>
            <w:noWrap/>
            <w:tcMar>
              <w:top w:w="15" w:type="dxa"/>
              <w:left w:w="15" w:type="dxa"/>
              <w:right w:w="15" w:type="dxa"/>
            </w:tcMar>
            <w:vAlign w:val="center"/>
          </w:tcPr>
          <w:p>
            <w:pPr>
              <w:pStyle w:val="6"/>
              <w:jc w:val="center"/>
              <w:rPr>
                <w:lang w:eastAsia="zh-CN"/>
              </w:rPr>
            </w:pPr>
            <w:r>
              <w:rPr>
                <w:rFonts w:hint="eastAsia"/>
                <w:lang w:eastAsia="zh-CN"/>
              </w:rPr>
              <w:t>6</w:t>
            </w:r>
          </w:p>
        </w:tc>
        <w:tc>
          <w:tcPr>
            <w:tcW w:w="1533" w:type="pct"/>
            <w:gridSpan w:val="2"/>
            <w:vMerge w:val="continue"/>
            <w:noWrap/>
            <w:tcMar>
              <w:top w:w="15" w:type="dxa"/>
              <w:left w:w="15" w:type="dxa"/>
              <w:right w:w="15" w:type="dxa"/>
            </w:tcMar>
            <w:vAlign w:val="center"/>
          </w:tcPr>
          <w:p>
            <w:pPr>
              <w:pStyle w:val="6"/>
              <w:jc w:val="center"/>
              <w:rPr>
                <w:rFonts w:ascii="Times New Roman" w:hAnsi="Times New Roman" w:cs="Times New Roman"/>
                <w:lang w:eastAsia="zh-CN"/>
              </w:rPr>
            </w:pPr>
          </w:p>
        </w:tc>
        <w:tc>
          <w:tcPr>
            <w:tcW w:w="138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改造提升高标准农田</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5990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2500</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1497.5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3178" w:type="pct"/>
            <w:gridSpan w:val="4"/>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新建高标准农田</w:t>
            </w:r>
            <w:r>
              <w:rPr>
                <w:rFonts w:hint="eastAsia"/>
                <w:lang w:eastAsia="zh-CN"/>
              </w:rPr>
              <w:t>合计</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22610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4927.4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3178" w:type="pct"/>
            <w:gridSpan w:val="4"/>
            <w:noWrap/>
            <w:tcMar>
              <w:top w:w="15" w:type="dxa"/>
              <w:left w:w="15" w:type="dxa"/>
              <w:right w:w="15" w:type="dxa"/>
            </w:tcMar>
            <w:vAlign w:val="center"/>
          </w:tcPr>
          <w:p>
            <w:pPr>
              <w:pStyle w:val="6"/>
              <w:jc w:val="center"/>
              <w:rPr>
                <w:lang w:eastAsia="zh-CN"/>
              </w:rPr>
            </w:pPr>
            <w:r>
              <w:rPr>
                <w:rFonts w:hint="eastAsia" w:ascii="Times New Roman" w:hAnsi="Times New Roman" w:cs="Times New Roman"/>
                <w:lang w:eastAsia="zh-CN"/>
              </w:rPr>
              <w:t>改造提升高标准农田合计</w:t>
            </w:r>
          </w:p>
        </w:tc>
        <w:tc>
          <w:tcPr>
            <w:tcW w:w="510"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16690</w:t>
            </w:r>
          </w:p>
        </w:tc>
        <w:tc>
          <w:tcPr>
            <w:tcW w:w="694"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2500</w:t>
            </w:r>
          </w:p>
        </w:tc>
        <w:tc>
          <w:tcPr>
            <w:tcW w:w="616" w:type="pct"/>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4172.5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3178" w:type="pct"/>
            <w:gridSpan w:val="4"/>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本次规划总投资</w:t>
            </w:r>
          </w:p>
        </w:tc>
        <w:tc>
          <w:tcPr>
            <w:tcW w:w="1821" w:type="pct"/>
            <w:gridSpan w:val="3"/>
            <w:noWrap/>
            <w:tcMar>
              <w:top w:w="15" w:type="dxa"/>
              <w:left w:w="15" w:type="dxa"/>
              <w:right w:w="15" w:type="dxa"/>
            </w:tcMar>
            <w:vAlign w:val="center"/>
          </w:tcPr>
          <w:p>
            <w:pPr>
              <w:pStyle w:val="6"/>
              <w:jc w:val="center"/>
              <w:rPr>
                <w:rFonts w:ascii="Times New Roman" w:hAnsi="Times New Roman" w:cs="Times New Roman"/>
                <w:lang w:eastAsia="zh-CN"/>
              </w:rPr>
            </w:pPr>
            <w:r>
              <w:rPr>
                <w:rFonts w:hint="eastAsia" w:ascii="Times New Roman" w:hAnsi="Times New Roman" w:cs="Times New Roman"/>
                <w:lang w:eastAsia="zh-CN"/>
              </w:rPr>
              <w:t>9099.9</w:t>
            </w:r>
          </w:p>
        </w:tc>
      </w:tr>
    </w:tbl>
    <w:p>
      <w:pPr>
        <w:ind w:firstLine="634"/>
        <w:rPr>
          <w:rFonts w:ascii="仿宋_GB2312"/>
          <w:b/>
          <w:bCs/>
          <w:color w:val="000000"/>
        </w:rPr>
      </w:pPr>
      <w:r>
        <w:rPr>
          <w:rFonts w:hint="eastAsia" w:ascii="仿宋_GB2312"/>
          <w:b/>
          <w:bCs/>
          <w:color w:val="000000"/>
        </w:rPr>
        <w:t>一、新建高标准农田建设项目</w:t>
      </w:r>
    </w:p>
    <w:p>
      <w:pPr>
        <w:ind w:firstLine="632"/>
      </w:pPr>
      <w:r>
        <w:rPr>
          <w:rFonts w:hint="eastAsia"/>
        </w:rPr>
        <w:t>2021-2025年期间，规划三元区新建高标准农田9270亩，根据三元区农业农村局提供数据2021年-2022年三元区新建高标准农田每亩投资为1600元，2023年-2025年三元区新建高标准农田每亩投资为2400元经测算，规划期间，需投资1725.8万元，占总投资的18.97%；2026-2030年期间，规划三元区新建高标准农田13340亩，经测算，规划期间，需投资3201.6万元，占总投资的35.18%。</w:t>
      </w:r>
    </w:p>
    <w:p>
      <w:pPr>
        <w:ind w:left="632" w:leftChars="200" w:firstLine="0" w:firstLineChars="0"/>
        <w:rPr>
          <w:rFonts w:ascii="仿宋_GB2312"/>
          <w:b/>
          <w:bCs/>
          <w:color w:val="000000"/>
        </w:rPr>
      </w:pPr>
      <w:r>
        <w:rPr>
          <w:rFonts w:hint="eastAsia" w:ascii="仿宋_GB2312"/>
          <w:b/>
          <w:bCs/>
          <w:color w:val="000000"/>
        </w:rPr>
        <w:t>二、改造提升高标准农田建设项目</w:t>
      </w:r>
    </w:p>
    <w:p>
      <w:pPr>
        <w:ind w:firstLine="632"/>
        <w:rPr>
          <w:rFonts w:ascii="仿宋_GB2312"/>
          <w:b/>
          <w:bCs/>
          <w:color w:val="000000"/>
        </w:rPr>
      </w:pPr>
      <w:r>
        <w:rPr>
          <w:rFonts w:hint="eastAsia"/>
        </w:rPr>
        <w:t>2021-2025年期间，规划三元区改造提升高标准农田10700亩，根据三元区农业农村局提供数据三元区新建高标准农田每亩投资为2500元，经测算，规划期间，需投资2675万元，占总投资的29.40%；2026-2030年期间，规划三元区改造提升高标准农田5990亩，经测算，规划期间，需投资1497.5万元，占总投资的16.46%。</w:t>
      </w:r>
    </w:p>
    <w:p>
      <w:pPr>
        <w:pStyle w:val="5"/>
        <w:spacing w:before="93" w:after="93"/>
        <w:rPr>
          <w:kern w:val="0"/>
          <w:lang w:eastAsia="zh-CN"/>
        </w:rPr>
      </w:pPr>
      <w:bookmarkStart w:id="188" w:name="_Toc26378"/>
      <w:bookmarkStart w:id="189" w:name="_Toc16916"/>
      <w:r>
        <w:rPr>
          <w:rFonts w:hint="eastAsia"/>
          <w:kern w:val="0"/>
          <w:lang w:eastAsia="zh-CN"/>
        </w:rPr>
        <w:t>第二节资金筹措</w:t>
      </w:r>
      <w:bookmarkEnd w:id="188"/>
      <w:bookmarkEnd w:id="189"/>
    </w:p>
    <w:p>
      <w:pPr>
        <w:ind w:firstLine="632"/>
      </w:pPr>
      <w:r>
        <w:rPr>
          <w:rFonts w:hint="eastAsia"/>
        </w:rPr>
        <w:t>积极争取中央、省级财政支持。积极与国家、省级沟通，争取中央、省级财政对我区高标准农田建设的支持，为规划期内高标准农田建设任务的完成提供有力的资金保障。以完成规划确定的建设任务为目标，在不改变现有资金渠道的前提下，统筹整合高标准农田建设相关资金，形成建设合力。按照中央和省级要求，在区政府领导下，通过成立领导小组，建立决策协商制度和征求意见制度等方式，建立健全协调机制，形成建设规划、实施区域、投入方向、支持环节、项目选择等方面有机联结、相互匹配、协调衔接的工作局面；依据高标准农田建设规划，围绕主导产业、优势区域和重大项目，科学布局，突出重点，集中投入，将资金和项目落实到具体地块，做到统一标准、先易后难、连片治理、配套建设、整体推进;研究制定统筹整合资金的具体方案，引导各类高标准农田建设资金统筹使用和规模投入，做到“多条渠道进水、一个池子蓄水、一个龙头放水”，明确各部门任务，分头组织实施，确保责任落实。积极引导社会资本参与投资。制定积极的财政补贴等扶持政策，调动社会组织及个人投入高标准农田建设的积极性;运用市场机制，鼓励和吸引金融资本、民间资本投入高标准农田建设；尊重农民意愿，鼓励和引导项目区的农民筹资筹劳，积极参与高标准农田建设</w:t>
      </w:r>
    </w:p>
    <w:p>
      <w:pPr>
        <w:pStyle w:val="6"/>
        <w:rPr>
          <w:rFonts w:ascii="Times New Roman" w:hAnsi="Times New Roman" w:cs="Times New Roman"/>
          <w:lang w:eastAsia="zh-CN"/>
        </w:rPr>
      </w:pPr>
    </w:p>
    <w:p>
      <w:pPr>
        <w:pStyle w:val="6"/>
        <w:rPr>
          <w:rFonts w:ascii="Times New Roman" w:hAnsi="Times New Roman" w:cs="Times New Roman"/>
          <w:lang w:eastAsia="zh-CN"/>
        </w:rPr>
        <w:sectPr>
          <w:pgSz w:w="12053" w:h="16923"/>
          <w:pgMar w:top="1417" w:right="1417" w:bottom="1417" w:left="1417" w:header="851" w:footer="1020" w:gutter="0"/>
          <w:cols w:space="720" w:num="1"/>
          <w:docGrid w:type="lines" w:linePitch="312" w:charSpace="0"/>
        </w:sectPr>
      </w:pPr>
    </w:p>
    <w:p>
      <w:pPr>
        <w:pStyle w:val="3"/>
      </w:pPr>
      <w:bookmarkStart w:id="190" w:name="_Toc28474"/>
      <w:bookmarkStart w:id="191" w:name="_Toc1334"/>
      <w:r>
        <w:t>第</w:t>
      </w:r>
      <w:r>
        <w:rPr>
          <w:rFonts w:hint="eastAsia"/>
        </w:rPr>
        <w:t>七</w:t>
      </w:r>
      <w:r>
        <w:t>章</w:t>
      </w:r>
      <w:r>
        <w:rPr>
          <w:rFonts w:hint="eastAsia"/>
        </w:rPr>
        <w:t>效益分析</w:t>
      </w:r>
      <w:bookmarkEnd w:id="185"/>
      <w:bookmarkEnd w:id="190"/>
      <w:bookmarkEnd w:id="191"/>
    </w:p>
    <w:p>
      <w:pPr>
        <w:pStyle w:val="5"/>
        <w:spacing w:before="93" w:after="93"/>
        <w:rPr>
          <w:kern w:val="0"/>
          <w:lang w:eastAsia="zh-CN"/>
        </w:rPr>
      </w:pPr>
      <w:bookmarkStart w:id="192" w:name="_Toc18783"/>
      <w:bookmarkStart w:id="193" w:name="_Toc11403"/>
      <w:bookmarkStart w:id="194" w:name="_Toc1105"/>
      <w:r>
        <w:rPr>
          <w:kern w:val="0"/>
          <w:lang w:eastAsia="zh-CN"/>
        </w:rPr>
        <w:t>第一节经济效益</w:t>
      </w:r>
      <w:bookmarkEnd w:id="192"/>
      <w:bookmarkEnd w:id="193"/>
      <w:bookmarkEnd w:id="194"/>
    </w:p>
    <w:p>
      <w:pPr>
        <w:ind w:firstLine="632"/>
      </w:pPr>
      <w:r>
        <w:t>根据高标准农田建设的实践经验</w:t>
      </w:r>
      <w:r>
        <w:rPr>
          <w:rFonts w:hint="eastAsia"/>
        </w:rPr>
        <w:t>，</w:t>
      </w:r>
      <w:r>
        <w:t>本规划实施后</w:t>
      </w:r>
      <w:r>
        <w:rPr>
          <w:rFonts w:hint="eastAsia"/>
        </w:rPr>
        <w:t>，</w:t>
      </w:r>
      <w:r>
        <w:t>预期能新增高标准农田</w:t>
      </w:r>
      <w:r>
        <w:rPr>
          <w:rFonts w:hint="eastAsia"/>
        </w:rPr>
        <w:t>2.26</w:t>
      </w:r>
      <w:r>
        <w:t>万亩以上</w:t>
      </w:r>
      <w:r>
        <w:rPr>
          <w:rFonts w:hint="eastAsia"/>
        </w:rPr>
        <w:t>，</w:t>
      </w:r>
      <w:r>
        <w:t>改造提升</w:t>
      </w:r>
      <w:r>
        <w:rPr>
          <w:rFonts w:hint="eastAsia"/>
        </w:rPr>
        <w:t>1.67</w:t>
      </w:r>
      <w:r>
        <w:t>万亩以上</w:t>
      </w:r>
      <w:r>
        <w:rPr>
          <w:rFonts w:hint="eastAsia"/>
        </w:rPr>
        <w:t>，</w:t>
      </w:r>
      <w:r>
        <w:t>发展高效节水灌溉</w:t>
      </w:r>
      <w:r>
        <w:rPr>
          <w:rFonts w:hint="eastAsia"/>
        </w:rPr>
        <w:t>2.26</w:t>
      </w:r>
      <w:r>
        <w:t>万亩以上。规划建设区域的农业生产效率和效益将明显提升</w:t>
      </w:r>
      <w:r>
        <w:rPr>
          <w:rFonts w:hint="eastAsia"/>
        </w:rPr>
        <w:t>，</w:t>
      </w:r>
      <w:r>
        <w:t>新增高标准农田亩均提高粮食综合产能100公斤左右</w:t>
      </w:r>
      <w:r>
        <w:rPr>
          <w:rFonts w:hint="eastAsia"/>
        </w:rPr>
        <w:t>、</w:t>
      </w:r>
      <w:r>
        <w:t>改造提升高标准农田亩均提高粮食综合产能80公斤左右</w:t>
      </w:r>
      <w:r>
        <w:rPr>
          <w:rFonts w:hint="eastAsia"/>
        </w:rPr>
        <w:t>，</w:t>
      </w:r>
      <w:r>
        <w:t>还可增加蔬菜等优势特色农产品种类</w:t>
      </w:r>
      <w:r>
        <w:rPr>
          <w:rFonts w:hint="eastAsia"/>
        </w:rPr>
        <w:t>、</w:t>
      </w:r>
      <w:r>
        <w:t>产量和档次</w:t>
      </w:r>
      <w:r>
        <w:rPr>
          <w:rFonts w:hint="eastAsia"/>
        </w:rPr>
        <w:t>，</w:t>
      </w:r>
      <w:r>
        <w:t>加上优质</w:t>
      </w:r>
      <w:r>
        <w:rPr>
          <w:rFonts w:hint="eastAsia"/>
        </w:rPr>
        <w:t>、</w:t>
      </w:r>
      <w:r>
        <w:t>节水</w:t>
      </w:r>
      <w:r>
        <w:rPr>
          <w:rFonts w:hint="eastAsia"/>
        </w:rPr>
        <w:t>、</w:t>
      </w:r>
      <w:r>
        <w:t>节能</w:t>
      </w:r>
      <w:r>
        <w:rPr>
          <w:rFonts w:hint="eastAsia"/>
        </w:rPr>
        <w:t>、</w:t>
      </w:r>
      <w:r>
        <w:t>节肥</w:t>
      </w:r>
      <w:r>
        <w:rPr>
          <w:rFonts w:hint="eastAsia"/>
        </w:rPr>
        <w:t>、</w:t>
      </w:r>
      <w:r>
        <w:t>节药等其他效益</w:t>
      </w:r>
      <w:r>
        <w:rPr>
          <w:rFonts w:hint="eastAsia"/>
        </w:rPr>
        <w:t>，</w:t>
      </w:r>
      <w:r>
        <w:t>亩均每年增收节支</w:t>
      </w:r>
      <w:r>
        <w:rPr>
          <w:rFonts w:hint="eastAsia"/>
        </w:rPr>
        <w:t>200</w:t>
      </w:r>
      <w:r>
        <w:t>元以上</w:t>
      </w:r>
      <w:r>
        <w:rPr>
          <w:rFonts w:hint="eastAsia"/>
        </w:rPr>
        <w:t>。</w:t>
      </w:r>
    </w:p>
    <w:p>
      <w:pPr>
        <w:pStyle w:val="5"/>
        <w:spacing w:before="93" w:after="93"/>
        <w:rPr>
          <w:kern w:val="0"/>
          <w:lang w:eastAsia="zh-CN"/>
        </w:rPr>
      </w:pPr>
      <w:bookmarkStart w:id="195" w:name="_Toc29542"/>
      <w:bookmarkStart w:id="196" w:name="_Toc15020"/>
      <w:bookmarkStart w:id="197" w:name="_Toc15400"/>
      <w:r>
        <w:rPr>
          <w:kern w:val="0"/>
          <w:lang w:eastAsia="zh-CN"/>
        </w:rPr>
        <w:t>第二节社会效益</w:t>
      </w:r>
      <w:bookmarkEnd w:id="195"/>
      <w:bookmarkEnd w:id="196"/>
      <w:bookmarkEnd w:id="197"/>
    </w:p>
    <w:p>
      <w:pPr>
        <w:ind w:firstLine="632"/>
      </w:pPr>
      <w:r>
        <w:t>建设高标准农田的社会效益主要体现在</w:t>
      </w:r>
      <w:r>
        <w:rPr>
          <w:rFonts w:hint="eastAsia"/>
        </w:rPr>
        <w:t>四</w:t>
      </w:r>
      <w:r>
        <w:t>个方面:</w:t>
      </w:r>
    </w:p>
    <w:p>
      <w:pPr>
        <w:numPr>
          <w:ilvl w:val="0"/>
          <w:numId w:val="13"/>
        </w:numPr>
        <w:ind w:firstLine="632"/>
      </w:pPr>
      <w:r>
        <w:t>保障粮食安全。</w:t>
      </w:r>
    </w:p>
    <w:p>
      <w:pPr>
        <w:ind w:firstLine="632"/>
      </w:pPr>
      <w:r>
        <w:rPr>
          <w:rFonts w:hint="eastAsia"/>
        </w:rPr>
        <w:t>高标准农田建成后，将有效改善农业生产条件，改良土壤，提高土地利用率、土地产出率和劳动生产率，使旱涝保收、高产稳产农田比例大幅增加。农田粮食生产能力平均每亩提高100公斤左右，有效发挥了增粮保供给的作用，对保障我区粮食安全，促进经济社会协调、可持续发展具有重大意义。</w:t>
      </w:r>
    </w:p>
    <w:p>
      <w:pPr>
        <w:numPr>
          <w:ilvl w:val="0"/>
          <w:numId w:val="13"/>
        </w:numPr>
        <w:ind w:firstLine="632"/>
      </w:pPr>
      <w:r>
        <w:t>改善农民生产生活条件。</w:t>
      </w:r>
    </w:p>
    <w:p>
      <w:pPr>
        <w:ind w:firstLine="632"/>
      </w:pPr>
      <w:r>
        <w:rPr>
          <w:rFonts w:hint="eastAsia"/>
        </w:rPr>
        <w:t>随着规划各项工程措施的全面配套完善和物质装备的提升，不仅给农业生产提供有力保障，也使规划区内的交通运输、供电、灌溉、森林覆盖等生态环境得到明显改观，农民的生产和生活状况将发生深刻变化，对推进社会主义新农村建设产生积极的影响。</w:t>
      </w:r>
    </w:p>
    <w:p>
      <w:pPr>
        <w:numPr>
          <w:ilvl w:val="0"/>
          <w:numId w:val="13"/>
        </w:numPr>
        <w:ind w:firstLine="632"/>
      </w:pPr>
      <w:r>
        <w:t>促进农业增效。</w:t>
      </w:r>
    </w:p>
    <w:p>
      <w:pPr>
        <w:ind w:firstLine="632"/>
      </w:pPr>
      <w:r>
        <w:rPr>
          <w:rFonts w:hint="eastAsia"/>
        </w:rPr>
        <w:t>通过实施本规划，可促进农民增加收入，推进农业科技创新，将更多的就业机会，增加农民收入，对农村社会稳定起到促进作用，有利于和谐社会的建立。</w:t>
      </w:r>
    </w:p>
    <w:p>
      <w:pPr>
        <w:numPr>
          <w:ilvl w:val="0"/>
          <w:numId w:val="13"/>
        </w:numPr>
        <w:spacing w:line="600" w:lineRule="exact"/>
        <w:ind w:firstLine="632"/>
        <w:rPr>
          <w:rFonts w:ascii="仿宋_GB2312"/>
          <w:color w:val="000000"/>
        </w:rPr>
      </w:pPr>
      <w:r>
        <w:rPr>
          <w:rFonts w:hint="eastAsia" w:ascii="仿宋_GB2312"/>
          <w:color w:val="000000"/>
        </w:rPr>
        <w:t>助推乡村振兴战略实施。</w:t>
      </w:r>
    </w:p>
    <w:p>
      <w:pPr>
        <w:ind w:firstLine="632"/>
      </w:pPr>
      <w:r>
        <w:rPr>
          <w:rFonts w:hint="eastAsia"/>
        </w:rPr>
        <w:t>实施高标准农田建设项目，结合美丽乡村建设的实际需要，加强田间道路建设，改善农村环境，使规划区内的沟河能排、能灌，水质清澈，空气清新，交通状况得到改善，农民生产生活条件明显改变。</w:t>
      </w:r>
    </w:p>
    <w:p>
      <w:pPr>
        <w:pStyle w:val="5"/>
        <w:spacing w:before="93" w:after="93"/>
        <w:rPr>
          <w:kern w:val="0"/>
          <w:lang w:eastAsia="zh-CN"/>
        </w:rPr>
      </w:pPr>
      <w:bookmarkStart w:id="198" w:name="_Toc6934"/>
      <w:bookmarkStart w:id="199" w:name="_Toc5385"/>
      <w:bookmarkStart w:id="200" w:name="_Toc16687"/>
      <w:r>
        <w:rPr>
          <w:kern w:val="0"/>
          <w:lang w:eastAsia="zh-CN"/>
        </w:rPr>
        <w:t>第三节生态效益</w:t>
      </w:r>
      <w:bookmarkEnd w:id="198"/>
      <w:bookmarkEnd w:id="199"/>
      <w:bookmarkEnd w:id="200"/>
    </w:p>
    <w:p>
      <w:pPr>
        <w:ind w:firstLine="632"/>
      </w:pPr>
      <w:r>
        <w:t>规划的实施，</w:t>
      </w:r>
      <w:r>
        <w:rPr>
          <w:rFonts w:hint="eastAsia"/>
        </w:rPr>
        <w:t>有效</w:t>
      </w:r>
      <w:r>
        <w:t>提高水土资源利用效率</w:t>
      </w:r>
      <w:r>
        <w:rPr>
          <w:rFonts w:hint="eastAsia"/>
        </w:rPr>
        <w:t>。</w:t>
      </w:r>
      <w:r>
        <w:t>通过高标准农田和高效节水灌溉工程建设</w:t>
      </w:r>
      <w:r>
        <w:rPr>
          <w:rFonts w:hint="eastAsia"/>
        </w:rPr>
        <w:t>，</w:t>
      </w:r>
      <w:r>
        <w:t>完善灌排设施</w:t>
      </w:r>
      <w:r>
        <w:rPr>
          <w:rFonts w:hint="eastAsia"/>
        </w:rPr>
        <w:t>，</w:t>
      </w:r>
      <w:r>
        <w:t>解决水资源时空分布不均的问题</w:t>
      </w:r>
      <w:r>
        <w:rPr>
          <w:rFonts w:hint="eastAsia"/>
        </w:rPr>
        <w:t>；</w:t>
      </w:r>
      <w:r>
        <w:t>落实衬砌渠道</w:t>
      </w:r>
      <w:r>
        <w:rPr>
          <w:rFonts w:hint="eastAsia"/>
        </w:rPr>
        <w:t>、</w:t>
      </w:r>
      <w:r>
        <w:t>配套田间灌排设施</w:t>
      </w:r>
      <w:r>
        <w:rPr>
          <w:rFonts w:hint="eastAsia"/>
        </w:rPr>
        <w:t>、</w:t>
      </w:r>
      <w:r>
        <w:t>推广管灌</w:t>
      </w:r>
      <w:r>
        <w:rPr>
          <w:rFonts w:hint="eastAsia"/>
        </w:rPr>
        <w:t>、</w:t>
      </w:r>
      <w:r>
        <w:t>喷灌</w:t>
      </w:r>
      <w:r>
        <w:rPr>
          <w:rFonts w:hint="eastAsia"/>
        </w:rPr>
        <w:t>、</w:t>
      </w:r>
      <w:r>
        <w:t>微灌等措施</w:t>
      </w:r>
      <w:r>
        <w:rPr>
          <w:rFonts w:hint="eastAsia"/>
        </w:rPr>
        <w:t>，</w:t>
      </w:r>
      <w:r>
        <w:t>提高水资源利用率和灌溉效率。</w:t>
      </w:r>
      <w:r>
        <w:rPr>
          <w:rFonts w:hint="eastAsia"/>
        </w:rPr>
        <w:t>规划</w:t>
      </w:r>
      <w:r>
        <w:t>通过田块整治、土壤改良和科学合理施药施肥，可减少农药和化肥用量，有效控制农业面源污染</w:t>
      </w:r>
      <w:r>
        <w:rPr>
          <w:rFonts w:hint="eastAsia"/>
        </w:rPr>
        <w:t>；</w:t>
      </w:r>
      <w:r>
        <w:t>通过增加有机肥施用量，可促进农作物秸秆还田，提高秸秆综合利用率，有效杜绝因秸秆焚烧带来的大气污染;通过灌溉沟渠、电力设施及道路建设，可有效提高农业集约用水、用电、用地能力，减少资源能源消耗，促进农业可持续发展</w:t>
      </w:r>
      <w:r>
        <w:rPr>
          <w:rFonts w:hint="eastAsia"/>
        </w:rPr>
        <w:t>；</w:t>
      </w:r>
      <w:r>
        <w:t>通过加强农作物和畜禽水产良种、优质高产栽培及健康养殖、种植节本增效控害等先进适用技术的推广与应用，促进无公害、绿色农产品的生产。通过暗坡防治，边坡治理等手段，水土流失得到有效控制。</w:t>
      </w:r>
    </w:p>
    <w:p>
      <w:pPr>
        <w:pStyle w:val="2"/>
        <w:ind w:left="0" w:leftChars="0" w:firstLine="0" w:firstLineChars="0"/>
        <w:sectPr>
          <w:pgSz w:w="12053" w:h="16923"/>
          <w:pgMar w:top="1417" w:right="1417" w:bottom="1417" w:left="1417" w:header="851" w:footer="1020" w:gutter="0"/>
          <w:cols w:space="720" w:num="1"/>
          <w:docGrid w:type="lines" w:linePitch="312" w:charSpace="0"/>
        </w:sectPr>
      </w:pPr>
    </w:p>
    <w:p>
      <w:pPr>
        <w:pStyle w:val="3"/>
        <w:spacing w:before="93" w:after="93"/>
      </w:pPr>
      <w:bookmarkStart w:id="201" w:name="_Toc28873"/>
      <w:bookmarkStart w:id="202" w:name="_Toc1111"/>
      <w:r>
        <w:t>第</w:t>
      </w:r>
      <w:r>
        <w:rPr>
          <w:rFonts w:hint="eastAsia"/>
        </w:rPr>
        <w:t>八</w:t>
      </w:r>
      <w:r>
        <w:t>章保障措施</w:t>
      </w:r>
      <w:bookmarkEnd w:id="201"/>
      <w:bookmarkEnd w:id="202"/>
    </w:p>
    <w:p>
      <w:pPr>
        <w:ind w:firstLine="632"/>
      </w:pPr>
      <w:r>
        <w:t>抓好高标准农田建设是保障国家粮食安全的一项长期性、战略性举措。应紧紧围绕实施乡村振兴战略目标，不折不扣的落实党中央、国务院和省委省政府关于高标准农田建设的决策部署，务实创新，建好、管好、用好高标准农田，为保障国家粮食安全提供坚实支撑。</w:t>
      </w:r>
    </w:p>
    <w:p>
      <w:pPr>
        <w:pStyle w:val="5"/>
        <w:spacing w:before="93" w:after="93"/>
        <w:rPr>
          <w:kern w:val="0"/>
          <w:lang w:eastAsia="zh-CN"/>
        </w:rPr>
      </w:pPr>
      <w:bookmarkStart w:id="203" w:name="_Toc20610"/>
      <w:bookmarkStart w:id="204" w:name="_Toc8467"/>
      <w:bookmarkStart w:id="205" w:name="_Toc5931"/>
      <w:r>
        <w:rPr>
          <w:kern w:val="0"/>
          <w:lang w:eastAsia="zh-CN"/>
        </w:rPr>
        <w:t>第一节</w:t>
      </w:r>
      <w:bookmarkEnd w:id="203"/>
      <w:bookmarkEnd w:id="204"/>
      <w:r>
        <w:rPr>
          <w:rFonts w:hint="eastAsia"/>
          <w:kern w:val="0"/>
          <w:lang w:eastAsia="zh-CN"/>
        </w:rPr>
        <w:t>明确组织领导</w:t>
      </w:r>
      <w:bookmarkEnd w:id="205"/>
    </w:p>
    <w:p>
      <w:pPr>
        <w:ind w:firstLine="632"/>
      </w:pPr>
      <w:r>
        <w:t>以提升粮食综合生产能力为首要目标，聚焦重点区域，统筹整合资金，加大投入力度，持续推进高标准农田建设工程，切实增强农田稳产高产、旱涝保收能力，为保障粮食安全打下坚实基础。</w:t>
      </w:r>
      <w:r>
        <w:rPr>
          <w:rFonts w:hint="eastAsia"/>
        </w:rPr>
        <w:t>区</w:t>
      </w:r>
      <w:r>
        <w:t>政府是规划的实施主体，对高标准农田建设和管理负总责，各乡镇人民政府要切实提高政治站位，充分认识推进高标准农田建设的重要意义，切实加强对规划任务落实得组织领导。</w:t>
      </w:r>
      <w:r>
        <w:rPr>
          <w:rFonts w:hint="eastAsia"/>
        </w:rPr>
        <w:t>三元区</w:t>
      </w:r>
      <w:r>
        <w:t>农业农村局要在</w:t>
      </w:r>
      <w:r>
        <w:rPr>
          <w:rFonts w:hint="eastAsia"/>
        </w:rPr>
        <w:t>区</w:t>
      </w:r>
      <w:r>
        <w:t>人民政府的领导下，主动履职，确保各项工作任务按期完成。</w:t>
      </w:r>
    </w:p>
    <w:p>
      <w:pPr>
        <w:pStyle w:val="5"/>
        <w:spacing w:before="93" w:after="93"/>
        <w:rPr>
          <w:kern w:val="0"/>
        </w:rPr>
      </w:pPr>
      <w:bookmarkStart w:id="206" w:name="_Toc26790"/>
      <w:bookmarkStart w:id="207" w:name="_Toc21406"/>
      <w:bookmarkStart w:id="208" w:name="_Toc14439"/>
      <w:r>
        <w:rPr>
          <w:kern w:val="0"/>
        </w:rPr>
        <w:t>第二节规划引领</w:t>
      </w:r>
      <w:bookmarkEnd w:id="206"/>
      <w:bookmarkEnd w:id="207"/>
      <w:bookmarkEnd w:id="208"/>
    </w:p>
    <w:p>
      <w:pPr>
        <w:numPr>
          <w:ilvl w:val="0"/>
          <w:numId w:val="14"/>
        </w:numPr>
        <w:ind w:firstLine="634"/>
      </w:pPr>
      <w:r>
        <w:rPr>
          <w:b/>
          <w:bCs/>
        </w:rPr>
        <w:t>完善建设规划。</w:t>
      </w:r>
    </w:p>
    <w:p>
      <w:pPr>
        <w:ind w:firstLine="632"/>
      </w:pPr>
      <w:r>
        <w:t>完善县在全面摸清高标准农田建设数量</w:t>
      </w:r>
      <w:r>
        <w:rPr>
          <w:rFonts w:hint="eastAsia"/>
        </w:rPr>
        <w:t>、</w:t>
      </w:r>
      <w:r>
        <w:t>质量情况的基础上</w:t>
      </w:r>
      <w:r>
        <w:rPr>
          <w:rFonts w:hint="eastAsia"/>
        </w:rPr>
        <w:t>，</w:t>
      </w:r>
      <w:r>
        <w:t>根据本规划确定的总体目标和分县任务要求</w:t>
      </w:r>
      <w:r>
        <w:rPr>
          <w:rFonts w:hint="eastAsia"/>
        </w:rPr>
        <w:t>，</w:t>
      </w:r>
      <w:r>
        <w:t>编制本</w:t>
      </w:r>
      <w:r>
        <w:rPr>
          <w:rFonts w:hint="eastAsia"/>
        </w:rPr>
        <w:t>县</w:t>
      </w:r>
      <w:r>
        <w:t>高标准农田建设规划</w:t>
      </w:r>
      <w:r>
        <w:rPr>
          <w:rFonts w:hint="eastAsia"/>
        </w:rPr>
        <w:t>，</w:t>
      </w:r>
      <w:r>
        <w:t>将建设任务分解落实到</w:t>
      </w:r>
      <w:r>
        <w:rPr>
          <w:rFonts w:hint="eastAsia"/>
        </w:rPr>
        <w:t>各乡镇。</w:t>
      </w:r>
      <w:r>
        <w:t>县级建设规划要将各项建设任务落实到地块</w:t>
      </w:r>
      <w:r>
        <w:rPr>
          <w:rFonts w:hint="eastAsia"/>
        </w:rPr>
        <w:t>，</w:t>
      </w:r>
      <w:r>
        <w:t>明确时序安排</w:t>
      </w:r>
      <w:r>
        <w:rPr>
          <w:rFonts w:hint="eastAsia"/>
        </w:rPr>
        <w:t>。</w:t>
      </w:r>
    </w:p>
    <w:p>
      <w:pPr>
        <w:numPr>
          <w:ilvl w:val="0"/>
          <w:numId w:val="14"/>
        </w:numPr>
        <w:ind w:firstLine="634"/>
        <w:rPr>
          <w:b/>
          <w:bCs/>
        </w:rPr>
      </w:pPr>
      <w:r>
        <w:rPr>
          <w:b/>
          <w:bCs/>
        </w:rPr>
        <w:t>有效衔接规划。</w:t>
      </w:r>
    </w:p>
    <w:p>
      <w:pPr>
        <w:ind w:firstLine="632"/>
      </w:pPr>
      <w:r>
        <w:rPr>
          <w:rFonts w:hint="eastAsia"/>
        </w:rPr>
        <w:t>各乡镇</w:t>
      </w:r>
      <w:r>
        <w:t>应将高标准农田建设纳入本级经济社会发展规划</w:t>
      </w:r>
      <w:r>
        <w:rPr>
          <w:rFonts w:hint="eastAsia"/>
        </w:rPr>
        <w:t>，</w:t>
      </w:r>
      <w:r>
        <w:t>并与各相关专业规划做好衔接</w:t>
      </w:r>
      <w:r>
        <w:rPr>
          <w:rFonts w:hint="eastAsia"/>
        </w:rPr>
        <w:t>。</w:t>
      </w:r>
      <w:r>
        <w:t>高标准农田建设目标</w:t>
      </w:r>
      <w:r>
        <w:rPr>
          <w:rFonts w:hint="eastAsia"/>
        </w:rPr>
        <w:t>、</w:t>
      </w:r>
      <w:r>
        <w:t>任务</w:t>
      </w:r>
      <w:r>
        <w:rPr>
          <w:rFonts w:hint="eastAsia"/>
        </w:rPr>
        <w:t>、</w:t>
      </w:r>
      <w:r>
        <w:t>布局和项目安排</w:t>
      </w:r>
      <w:r>
        <w:rPr>
          <w:rFonts w:hint="eastAsia"/>
        </w:rPr>
        <w:t>，</w:t>
      </w:r>
      <w:r>
        <w:t>要充分做好与国土空间规划等相关专业规划的衔接</w:t>
      </w:r>
      <w:r>
        <w:rPr>
          <w:rFonts w:hint="eastAsia"/>
        </w:rPr>
        <w:t>，</w:t>
      </w:r>
      <w:r>
        <w:t>综合考虑耕地资源承载力</w:t>
      </w:r>
      <w:r>
        <w:rPr>
          <w:rFonts w:hint="eastAsia"/>
        </w:rPr>
        <w:t>、</w:t>
      </w:r>
      <w:r>
        <w:t>粮食保障要求等因素</w:t>
      </w:r>
      <w:r>
        <w:rPr>
          <w:rFonts w:hint="eastAsia"/>
        </w:rPr>
        <w:t>，</w:t>
      </w:r>
      <w:r>
        <w:t>确定高标准农田建设区域</w:t>
      </w:r>
      <w:r>
        <w:rPr>
          <w:rFonts w:hint="eastAsia"/>
        </w:rPr>
        <w:t>。</w:t>
      </w:r>
      <w:r>
        <w:t>各相关部门的规划成果</w:t>
      </w:r>
      <w:r>
        <w:rPr>
          <w:rFonts w:hint="eastAsia"/>
        </w:rPr>
        <w:t>、</w:t>
      </w:r>
      <w:r>
        <w:t>项目管理信息系统等要做到数据共享</w:t>
      </w:r>
      <w:r>
        <w:rPr>
          <w:rFonts w:hint="eastAsia"/>
        </w:rPr>
        <w:t>，</w:t>
      </w:r>
      <w:r>
        <w:t>促进高标准农田各类项目有序</w:t>
      </w:r>
      <w:r>
        <w:rPr>
          <w:rFonts w:hint="eastAsia"/>
        </w:rPr>
        <w:t>、</w:t>
      </w:r>
      <w:r>
        <w:t>有效实施。</w:t>
      </w:r>
    </w:p>
    <w:p>
      <w:pPr>
        <w:numPr>
          <w:ilvl w:val="0"/>
          <w:numId w:val="14"/>
        </w:numPr>
        <w:ind w:firstLine="634"/>
        <w:rPr>
          <w:b/>
          <w:bCs/>
        </w:rPr>
      </w:pPr>
      <w:r>
        <w:rPr>
          <w:b/>
          <w:bCs/>
        </w:rPr>
        <w:t>适时开展评估。</w:t>
      </w:r>
    </w:p>
    <w:p>
      <w:pPr>
        <w:ind w:firstLine="632"/>
      </w:pPr>
      <w:r>
        <w:t>根据实际情况</w:t>
      </w:r>
      <w:r>
        <w:rPr>
          <w:rFonts w:hint="eastAsia"/>
        </w:rPr>
        <w:t>，</w:t>
      </w:r>
      <w:r>
        <w:t>制定高标准农田建设年度计划</w:t>
      </w:r>
      <w:r>
        <w:rPr>
          <w:rFonts w:hint="eastAsia"/>
        </w:rPr>
        <w:t>，</w:t>
      </w:r>
      <w:r>
        <w:t>并加强年度计划执行情况的跟踪考核</w:t>
      </w:r>
      <w:r>
        <w:rPr>
          <w:rFonts w:hint="eastAsia"/>
        </w:rPr>
        <w:t>。</w:t>
      </w:r>
      <w:r>
        <w:t>在规划实施中期</w:t>
      </w:r>
      <w:r>
        <w:rPr>
          <w:rFonts w:hint="eastAsia"/>
        </w:rPr>
        <w:t>，</w:t>
      </w:r>
      <w:r>
        <w:t>采用各地自评与第三方评估相结合的方式</w:t>
      </w:r>
      <w:r>
        <w:rPr>
          <w:rFonts w:hint="eastAsia"/>
        </w:rPr>
        <w:t>，</w:t>
      </w:r>
      <w:r>
        <w:t>对规划目标</w:t>
      </w:r>
      <w:r>
        <w:rPr>
          <w:rFonts w:hint="eastAsia"/>
        </w:rPr>
        <w:t>、</w:t>
      </w:r>
      <w:r>
        <w:t>建设任务</w:t>
      </w:r>
      <w:r>
        <w:rPr>
          <w:rFonts w:hint="eastAsia"/>
        </w:rPr>
        <w:t>、</w:t>
      </w:r>
      <w:r>
        <w:t>重点项目的执行情况进行评估分析</w:t>
      </w:r>
      <w:r>
        <w:rPr>
          <w:rFonts w:hint="eastAsia"/>
        </w:rPr>
        <w:t>，</w:t>
      </w:r>
      <w:r>
        <w:t>客观评价规划实施进展</w:t>
      </w:r>
      <w:r>
        <w:rPr>
          <w:rFonts w:hint="eastAsia"/>
        </w:rPr>
        <w:t>，</w:t>
      </w:r>
      <w:r>
        <w:t>总结提炼经验做法</w:t>
      </w:r>
      <w:r>
        <w:rPr>
          <w:rFonts w:hint="eastAsia"/>
        </w:rPr>
        <w:t>、</w:t>
      </w:r>
      <w:r>
        <w:t>剖析实施过程中存在的问题及原因</w:t>
      </w:r>
      <w:r>
        <w:rPr>
          <w:rFonts w:hint="eastAsia"/>
        </w:rPr>
        <w:t>，</w:t>
      </w:r>
      <w:r>
        <w:t>进一步发挥好规划的引领作用。</w:t>
      </w:r>
    </w:p>
    <w:p>
      <w:pPr>
        <w:pStyle w:val="5"/>
        <w:spacing w:before="93" w:after="93"/>
        <w:rPr>
          <w:kern w:val="0"/>
          <w:lang w:eastAsia="zh-CN"/>
        </w:rPr>
      </w:pPr>
      <w:bookmarkStart w:id="209" w:name="_Toc23012"/>
      <w:bookmarkStart w:id="210" w:name="_Toc2176"/>
      <w:bookmarkStart w:id="211" w:name="_Toc4542"/>
      <w:r>
        <w:rPr>
          <w:kern w:val="0"/>
        </w:rPr>
        <w:t>第三节</w:t>
      </w:r>
      <w:bookmarkEnd w:id="209"/>
      <w:bookmarkEnd w:id="210"/>
      <w:r>
        <w:rPr>
          <w:rFonts w:hint="eastAsia"/>
          <w:kern w:val="0"/>
          <w:lang w:eastAsia="zh-CN"/>
        </w:rPr>
        <w:t>资金投入</w:t>
      </w:r>
      <w:bookmarkEnd w:id="211"/>
    </w:p>
    <w:p>
      <w:pPr>
        <w:numPr>
          <w:ilvl w:val="0"/>
          <w:numId w:val="15"/>
        </w:numPr>
        <w:ind w:firstLine="634"/>
      </w:pPr>
      <w:r>
        <w:rPr>
          <w:b/>
          <w:bCs/>
        </w:rPr>
        <w:t>保障财政投入。</w:t>
      </w:r>
    </w:p>
    <w:p>
      <w:pPr>
        <w:ind w:firstLine="632"/>
      </w:pPr>
      <w:r>
        <w:t>在积极争取中央财政支持的基础上</w:t>
      </w:r>
      <w:r>
        <w:rPr>
          <w:rFonts w:hint="eastAsia"/>
        </w:rPr>
        <w:t>，</w:t>
      </w:r>
      <w:r>
        <w:t>将农田建设作为财政支出重点事项</w:t>
      </w:r>
      <w:r>
        <w:rPr>
          <w:rFonts w:hint="eastAsia"/>
        </w:rPr>
        <w:t>，</w:t>
      </w:r>
      <w:r>
        <w:t>列入本级政府预算</w:t>
      </w:r>
      <w:r>
        <w:rPr>
          <w:rFonts w:hint="eastAsia"/>
        </w:rPr>
        <w:t>，配足区级资金，县级资金落实到位，</w:t>
      </w:r>
      <w:r>
        <w:t>鼓励有条件的县要建立农田建设项目管护经费合理投入保障机制，高标准农田建设项目结余资金由县级统筹用于农田管护</w:t>
      </w:r>
      <w:r>
        <w:rPr>
          <w:rFonts w:hint="eastAsia"/>
        </w:rPr>
        <w:t>、</w:t>
      </w:r>
      <w:r>
        <w:t>灾毁修复等支出。</w:t>
      </w:r>
    </w:p>
    <w:p>
      <w:pPr>
        <w:numPr>
          <w:ilvl w:val="0"/>
          <w:numId w:val="15"/>
        </w:numPr>
        <w:ind w:firstLine="634"/>
        <w:rPr>
          <w:b/>
          <w:bCs/>
        </w:rPr>
      </w:pPr>
      <w:r>
        <w:rPr>
          <w:b/>
          <w:bCs/>
        </w:rPr>
        <w:t>创新投融资模式。</w:t>
      </w:r>
    </w:p>
    <w:p>
      <w:pPr>
        <w:ind w:firstLine="632"/>
      </w:pPr>
      <w:r>
        <w:t>发挥政府投入引导和撬动作用</w:t>
      </w:r>
      <w:r>
        <w:rPr>
          <w:rFonts w:hint="eastAsia"/>
        </w:rPr>
        <w:t>，</w:t>
      </w:r>
      <w:r>
        <w:t>采取投资补助</w:t>
      </w:r>
      <w:r>
        <w:rPr>
          <w:rFonts w:hint="eastAsia"/>
        </w:rPr>
        <w:t>、</w:t>
      </w:r>
      <w:r>
        <w:t>以奖代补</w:t>
      </w:r>
      <w:r>
        <w:rPr>
          <w:rFonts w:hint="eastAsia"/>
        </w:rPr>
        <w:t>、</w:t>
      </w:r>
      <w:r>
        <w:t>财政贴息等多种方式支持高标准农田建设。鼓励</w:t>
      </w:r>
      <w:r>
        <w:rPr>
          <w:rFonts w:hint="eastAsia"/>
        </w:rPr>
        <w:t>各乡镇</w:t>
      </w:r>
      <w:r>
        <w:t>政府有序引导金融和社会资本投入高标准农田建设。鼓励开发性</w:t>
      </w:r>
      <w:r>
        <w:rPr>
          <w:rFonts w:hint="eastAsia"/>
        </w:rPr>
        <w:t>、</w:t>
      </w:r>
      <w:r>
        <w:t>政策性金融机构结合职能定位和业务范围支持高标准农田建设</w:t>
      </w:r>
      <w:r>
        <w:rPr>
          <w:rFonts w:hint="eastAsia"/>
        </w:rPr>
        <w:t>，</w:t>
      </w:r>
      <w:r>
        <w:t>引导商业金融机构加大信贷投放力度</w:t>
      </w:r>
      <w:r>
        <w:rPr>
          <w:rFonts w:hint="eastAsia"/>
        </w:rPr>
        <w:t>。</w:t>
      </w:r>
      <w:r>
        <w:t>加强与信贷担保等政策衔接</w:t>
      </w:r>
      <w:r>
        <w:rPr>
          <w:rFonts w:hint="eastAsia"/>
        </w:rPr>
        <w:t>。</w:t>
      </w:r>
      <w:r>
        <w:t>鼓励地方政府在债券限额内将债券资金用于支持符合条件的高标准农田建设。加强国际合作与交流</w:t>
      </w:r>
      <w:r>
        <w:rPr>
          <w:rFonts w:hint="eastAsia"/>
        </w:rPr>
        <w:t>，</w:t>
      </w:r>
      <w:r>
        <w:t>探索利用国外贷款开展高标准农田建设</w:t>
      </w:r>
      <w:r>
        <w:rPr>
          <w:rFonts w:hint="eastAsia"/>
        </w:rPr>
        <w:t>。各级应调动受益主体管护积极性，吸引金融资本、社会资本等多元化投入，提倡引入保险机制参与农田管护修复。</w:t>
      </w:r>
    </w:p>
    <w:p>
      <w:pPr>
        <w:numPr>
          <w:ilvl w:val="0"/>
          <w:numId w:val="15"/>
        </w:numPr>
        <w:ind w:firstLine="634"/>
        <w:rPr>
          <w:b/>
          <w:bCs/>
        </w:rPr>
      </w:pPr>
      <w:r>
        <w:rPr>
          <w:b/>
          <w:bCs/>
        </w:rPr>
        <w:t>完善新增耕地指标调剂收益使用机制</w:t>
      </w:r>
      <w:r>
        <w:rPr>
          <w:rFonts w:hint="eastAsia"/>
          <w:b/>
          <w:bCs/>
        </w:rPr>
        <w:t>。</w:t>
      </w:r>
    </w:p>
    <w:p>
      <w:pPr>
        <w:ind w:firstLine="632"/>
      </w:pPr>
      <w:r>
        <w:t>加强新增耕地指标跨区域调剂统筹和收益调节分配</w:t>
      </w:r>
      <w:r>
        <w:rPr>
          <w:rFonts w:hint="eastAsia"/>
        </w:rPr>
        <w:t>，</w:t>
      </w:r>
      <w:r>
        <w:t>拓展高标准农田建设资金投入渠道</w:t>
      </w:r>
      <w:r>
        <w:rPr>
          <w:rFonts w:hint="eastAsia"/>
        </w:rPr>
        <w:t>。</w:t>
      </w:r>
      <w:r>
        <w:t>县将辖区内高标准农田建设新增耕地指标调剂收益优先用于农田建设再投入。</w:t>
      </w:r>
    </w:p>
    <w:p>
      <w:pPr>
        <w:pStyle w:val="5"/>
        <w:spacing w:before="93" w:after="93"/>
        <w:rPr>
          <w:kern w:val="0"/>
          <w:lang w:eastAsia="zh-CN"/>
        </w:rPr>
      </w:pPr>
      <w:bookmarkStart w:id="212" w:name="_Toc28149"/>
      <w:bookmarkStart w:id="213" w:name="_Toc19343"/>
      <w:bookmarkStart w:id="214" w:name="_Toc21704"/>
      <w:r>
        <w:rPr>
          <w:kern w:val="0"/>
          <w:lang w:eastAsia="zh-CN"/>
        </w:rPr>
        <w:t>第</w:t>
      </w:r>
      <w:r>
        <w:rPr>
          <w:rFonts w:hint="eastAsia"/>
          <w:kern w:val="0"/>
          <w:lang w:eastAsia="zh-CN"/>
        </w:rPr>
        <w:t>四</w:t>
      </w:r>
      <w:r>
        <w:rPr>
          <w:kern w:val="0"/>
          <w:lang w:eastAsia="zh-CN"/>
        </w:rPr>
        <w:t>节技术支撑</w:t>
      </w:r>
      <w:bookmarkEnd w:id="212"/>
      <w:bookmarkEnd w:id="213"/>
      <w:bookmarkEnd w:id="214"/>
    </w:p>
    <w:p>
      <w:pPr>
        <w:ind w:firstLine="632"/>
      </w:pPr>
      <w:bookmarkStart w:id="215" w:name="_Toc31753"/>
      <w:r>
        <w:rPr>
          <w:rFonts w:hint="eastAsia"/>
        </w:rPr>
        <w:t>区级有关部门要加强与高标准农田建设相关的基础研究、技术研发、相关标准制定修订和培训工作，为规划实施提供技术支撑。</w:t>
      </w:r>
    </w:p>
    <w:p>
      <w:pPr>
        <w:ind w:firstLine="632"/>
      </w:pPr>
      <w:r>
        <w:rPr>
          <w:rFonts w:hint="eastAsia"/>
        </w:rPr>
        <w:t>按照统一管理、分工负责、公开透明、多方参与的原则，统筹协调高标准农田建设标准体系建设和标准落实工作。要依据《高标准农田建设通则》、行业技术标准和《高标准农田建设技术规范》，制定全县高标准农田建设技术标准实施细则。</w:t>
      </w:r>
    </w:p>
    <w:p>
      <w:pPr>
        <w:ind w:firstLine="632"/>
      </w:pPr>
      <w:r>
        <w:rPr>
          <w:rFonts w:hint="eastAsia"/>
        </w:rPr>
        <w:t>推广新技术、新方法和新材料，围绕高标准农田建设的关键性技术问题，开展科学研究，组织科技攻关，力争有所突破;加强与其他兄弟项目市县联系，学习、吸收引进和大力推广高标准农田建设先进实用技术，加强工程建设与农机农艺技术的集成和应用，推动科技创新与成果转化，提升项目建设管理技术水平；加强人员培训，整合培训资源，加大对与高标准农田建设有关的勘察设计、工程建设、项目管理等技术和管理人员的培训力度，提高业务能力、技术水平和综合素质。</w:t>
      </w:r>
    </w:p>
    <w:p>
      <w:pPr>
        <w:pStyle w:val="5"/>
        <w:spacing w:before="93" w:after="93"/>
        <w:rPr>
          <w:kern w:val="0"/>
        </w:rPr>
      </w:pPr>
      <w:bookmarkStart w:id="216" w:name="_Toc6740"/>
      <w:bookmarkStart w:id="217" w:name="_Toc5570"/>
      <w:r>
        <w:rPr>
          <w:kern w:val="0"/>
        </w:rPr>
        <w:t>第</w:t>
      </w:r>
      <w:r>
        <w:rPr>
          <w:rFonts w:hint="eastAsia"/>
          <w:kern w:val="0"/>
          <w:lang w:eastAsia="zh-CN"/>
        </w:rPr>
        <w:t>六</w:t>
      </w:r>
      <w:r>
        <w:rPr>
          <w:kern w:val="0"/>
        </w:rPr>
        <w:t>节监督考核</w:t>
      </w:r>
      <w:bookmarkEnd w:id="215"/>
      <w:bookmarkEnd w:id="216"/>
      <w:bookmarkEnd w:id="217"/>
    </w:p>
    <w:p>
      <w:pPr>
        <w:numPr>
          <w:ilvl w:val="0"/>
          <w:numId w:val="16"/>
        </w:numPr>
        <w:ind w:firstLine="634"/>
        <w:rPr>
          <w:b/>
          <w:bCs/>
        </w:rPr>
      </w:pPr>
      <w:r>
        <w:rPr>
          <w:b/>
          <w:bCs/>
        </w:rPr>
        <w:t>强化激励评价考核。</w:t>
      </w:r>
    </w:p>
    <w:p>
      <w:pPr>
        <w:ind w:firstLine="632"/>
      </w:pPr>
      <w:r>
        <w:rPr>
          <w:rFonts w:hint="eastAsia"/>
        </w:rPr>
        <w:t>建立健全“定期调度、分析研判、通报约谈、奖优罚劣”的任务落实机制，加强项目日常监管和跟踪指导，强化质量管理，提升建设成效。按照粮食安全县长责任制考核、耕地保护责任目标考核、乡村振兴实绩考核有关要求，严格强化高标准农田建设考核评价，进一步提高考核权重，拿出“长牙齿”的措施，层层压实建设责任。综合应用在线监测、第三方抽查，探索利用遥感监测等客观数据，对高标准农田建设相关指标开展考核。将高标准农田建设任务完成情况纳入县政府督查激励事项，对完成任务好、工作实绩突出的乡镇予以奖励，并在开展创新试点项目时给予优先考虑，对未完成任务的约谈通报，树立奖优罚劣的鲜明导向。</w:t>
      </w:r>
    </w:p>
    <w:p>
      <w:pPr>
        <w:numPr>
          <w:ilvl w:val="0"/>
          <w:numId w:val="16"/>
        </w:numPr>
        <w:ind w:firstLine="634"/>
        <w:rPr>
          <w:b/>
          <w:bCs/>
        </w:rPr>
      </w:pPr>
      <w:r>
        <w:rPr>
          <w:b/>
          <w:bCs/>
        </w:rPr>
        <w:t>调动社会各方参与。</w:t>
      </w:r>
    </w:p>
    <w:p>
      <w:pPr>
        <w:ind w:firstLine="632"/>
      </w:pPr>
      <w:r>
        <w:t>构建群众监督参与机制，积极引导农村集体经济组织、农民、社会组织等各方面广泛参与高标准农田建设工作，形成共同监管、共同参与的良好氛围。注重发挥农民群众的主体作用，激发耕地所有者、农民及新型农业经营主体等参与高标准农田项目规划、建设和管护等方面积极性、主动性和创造性。</w:t>
      </w:r>
    </w:p>
    <w:p>
      <w:pPr>
        <w:numPr>
          <w:ilvl w:val="0"/>
          <w:numId w:val="16"/>
        </w:numPr>
        <w:ind w:firstLine="634"/>
        <w:rPr>
          <w:b/>
          <w:bCs/>
        </w:rPr>
      </w:pPr>
      <w:r>
        <w:rPr>
          <w:b/>
          <w:bCs/>
        </w:rPr>
        <w:t>加强风险防控预警。</w:t>
      </w:r>
    </w:p>
    <w:p>
      <w:pPr>
        <w:ind w:firstLine="632"/>
      </w:pPr>
      <w:r>
        <w:t>树立良好作风</w:t>
      </w:r>
      <w:r>
        <w:rPr>
          <w:rFonts w:hint="eastAsia"/>
        </w:rPr>
        <w:t>，</w:t>
      </w:r>
      <w:r>
        <w:t>强化廉政建设</w:t>
      </w:r>
      <w:r>
        <w:rPr>
          <w:rFonts w:hint="eastAsia"/>
        </w:rPr>
        <w:t>，</w:t>
      </w:r>
      <w:r>
        <w:t>严肃工作纪律</w:t>
      </w:r>
      <w:r>
        <w:rPr>
          <w:rFonts w:hint="eastAsia"/>
        </w:rPr>
        <w:t>，</w:t>
      </w:r>
      <w:r>
        <w:t>切实防范农田建设管理风险</w:t>
      </w:r>
      <w:r>
        <w:rPr>
          <w:rFonts w:hint="eastAsia"/>
        </w:rPr>
        <w:t>。</w:t>
      </w:r>
      <w:r>
        <w:t>加强对农田建设资金全过程绩效管理</w:t>
      </w:r>
      <w:r>
        <w:rPr>
          <w:rFonts w:hint="eastAsia"/>
        </w:rPr>
        <w:t>，</w:t>
      </w:r>
      <w:r>
        <w:t>科学设定绩效目标</w:t>
      </w:r>
      <w:r>
        <w:rPr>
          <w:rFonts w:hint="eastAsia"/>
        </w:rPr>
        <w:t>，</w:t>
      </w:r>
      <w:r>
        <w:t>做好绩效运行监控和评价</w:t>
      </w:r>
      <w:r>
        <w:rPr>
          <w:rFonts w:hint="eastAsia"/>
        </w:rPr>
        <w:t>，</w:t>
      </w:r>
      <w:r>
        <w:t>强化结果应用</w:t>
      </w:r>
      <w:r>
        <w:rPr>
          <w:rFonts w:hint="eastAsia"/>
        </w:rPr>
        <w:t>。</w:t>
      </w:r>
      <w:r>
        <w:t>加强工作指导</w:t>
      </w:r>
      <w:r>
        <w:rPr>
          <w:rFonts w:hint="eastAsia"/>
        </w:rPr>
        <w:t>，</w:t>
      </w:r>
      <w:r>
        <w:t>对发现的问题及时督促整改</w:t>
      </w:r>
      <w:r>
        <w:rPr>
          <w:rFonts w:hint="eastAsia"/>
        </w:rPr>
        <w:t>。</w:t>
      </w:r>
      <w:r>
        <w:t>严格跟踪问责</w:t>
      </w:r>
      <w:r>
        <w:rPr>
          <w:rFonts w:hint="eastAsia"/>
        </w:rPr>
        <w:t>，</w:t>
      </w:r>
      <w:r>
        <w:t>对履职不力</w:t>
      </w:r>
      <w:r>
        <w:rPr>
          <w:rFonts w:hint="eastAsia"/>
        </w:rPr>
        <w:t>、</w:t>
      </w:r>
      <w:r>
        <w:t>监管不严</w:t>
      </w:r>
      <w:r>
        <w:rPr>
          <w:rFonts w:hint="eastAsia"/>
        </w:rPr>
        <w:t>、</w:t>
      </w:r>
      <w:r>
        <w:t>失职渎职的</w:t>
      </w:r>
      <w:r>
        <w:rPr>
          <w:rFonts w:hint="eastAsia"/>
        </w:rPr>
        <w:t>，</w:t>
      </w:r>
      <w:r>
        <w:t>依法依规追究有关人员责任。</w:t>
      </w:r>
    </w:p>
    <w:p>
      <w:pPr>
        <w:pStyle w:val="5"/>
        <w:spacing w:before="93" w:after="93"/>
        <w:rPr>
          <w:kern w:val="0"/>
          <w:lang w:eastAsia="zh-CN"/>
        </w:rPr>
      </w:pPr>
      <w:bookmarkStart w:id="218" w:name="_Toc27111"/>
      <w:bookmarkStart w:id="219" w:name="_Toc19305"/>
      <w:r>
        <w:rPr>
          <w:kern w:val="0"/>
          <w:lang w:eastAsia="zh-CN"/>
        </w:rPr>
        <w:t>第四节</w:t>
      </w:r>
      <w:r>
        <w:rPr>
          <w:rFonts w:hint="eastAsia"/>
          <w:kern w:val="0"/>
          <w:lang w:eastAsia="zh-CN"/>
        </w:rPr>
        <w:t>队伍建设</w:t>
      </w:r>
      <w:bookmarkEnd w:id="218"/>
      <w:bookmarkEnd w:id="219"/>
    </w:p>
    <w:p>
      <w:pPr>
        <w:ind w:firstLine="632"/>
      </w:pPr>
      <w:r>
        <w:t>加强高标准农田建设管理和技术体系队伍建设，强化人员配套，与高标准农田建设任务相适应。加快形成层次清晰、上下衔接的专业化人才队伍。围绕农田建设各环节，加大技术培训力度，加强业务交流，提升高标准农田建设管理和技术人员的业务能力和综合素质。完善廉政风险防控制度，规范项目和资金管理，确保农田建设项目安全、资金安全和队伍安全。要坚守廉政底线，严肃工作纪律，推进项目建设公开透明、廉洁高效，严格按照相关规定和程序办事，坚决反对形式主义、官僚主义，坚决防止工作作风漂浮弄虛作假，强化项目全过程监督检查，切实防范项目实施各环节的风险。</w:t>
      </w:r>
    </w:p>
    <w:p>
      <w:pPr>
        <w:pStyle w:val="5"/>
        <w:spacing w:before="93" w:after="93"/>
        <w:rPr>
          <w:kern w:val="0"/>
          <w:lang w:eastAsia="zh-CN"/>
        </w:rPr>
      </w:pPr>
      <w:bookmarkStart w:id="220" w:name="_Toc23766"/>
      <w:bookmarkStart w:id="221" w:name="_Toc15391"/>
      <w:r>
        <w:rPr>
          <w:rFonts w:hint="eastAsia"/>
          <w:kern w:val="0"/>
          <w:lang w:eastAsia="zh-CN"/>
        </w:rPr>
        <w:t>第七节项目规划公示</w:t>
      </w:r>
      <w:bookmarkEnd w:id="220"/>
      <w:bookmarkEnd w:id="221"/>
    </w:p>
    <w:p>
      <w:pPr>
        <w:ind w:firstLine="632"/>
      </w:pPr>
      <w:r>
        <w:rPr>
          <w:rFonts w:hint="eastAsia"/>
        </w:rPr>
        <w:t>为了项目规划后能够得到项目区农户的大力支持，顺利实施和项目建设后，避免项目区耕地“非农化、非粮化”建议在项目区所在地村和村民小组公示，广泛征求农户意见</w:t>
      </w:r>
      <w:r>
        <w:t>。</w:t>
      </w:r>
      <w:bookmarkStart w:id="222" w:name="_Toc10955"/>
    </w:p>
    <w:p>
      <w:pPr>
        <w:spacing w:before="93" w:after="93"/>
        <w:ind w:firstLine="632"/>
      </w:pPr>
    </w:p>
    <w:p>
      <w:pPr>
        <w:spacing w:before="93" w:after="93"/>
        <w:ind w:firstLine="632"/>
      </w:pPr>
    </w:p>
    <w:p>
      <w:pPr>
        <w:spacing w:before="93" w:after="93"/>
        <w:ind w:firstLine="632"/>
      </w:pPr>
    </w:p>
    <w:p>
      <w:pPr>
        <w:ind w:firstLine="632"/>
        <w:sectPr>
          <w:pgSz w:w="11906" w:h="16838"/>
          <w:pgMar w:top="1440" w:right="1800" w:bottom="1440" w:left="1800" w:header="851" w:footer="992" w:gutter="0"/>
          <w:cols w:space="425" w:num="1"/>
          <w:docGrid w:type="lines" w:linePitch="312" w:charSpace="0"/>
        </w:sectPr>
      </w:pPr>
    </w:p>
    <w:p>
      <w:pPr>
        <w:pStyle w:val="3"/>
        <w:spacing w:before="93" w:after="93"/>
      </w:pPr>
      <w:bookmarkStart w:id="223" w:name="_Toc2469"/>
      <w:r>
        <w:rPr>
          <w:rFonts w:hint="eastAsia"/>
        </w:rPr>
        <w:t>附件、附表、附图</w:t>
      </w:r>
      <w:bookmarkEnd w:id="222"/>
      <w:bookmarkEnd w:id="223"/>
    </w:p>
    <w:p>
      <w:pPr>
        <w:pStyle w:val="4"/>
        <w:spacing w:before="156" w:after="156"/>
        <w:rPr>
          <w:bCs/>
          <w:kern w:val="0"/>
        </w:rPr>
      </w:pPr>
      <w:bookmarkStart w:id="224" w:name="_Toc28045"/>
      <w:bookmarkStart w:id="225" w:name="_Toc21420"/>
      <w:bookmarkStart w:id="226" w:name="_Toc1036"/>
      <w:r>
        <w:rPr>
          <w:rFonts w:hint="eastAsia"/>
          <w:bCs/>
          <w:kern w:val="0"/>
        </w:rPr>
        <w:t>附件</w:t>
      </w:r>
      <w:bookmarkEnd w:id="224"/>
      <w:bookmarkEnd w:id="225"/>
      <w:bookmarkEnd w:id="226"/>
    </w:p>
    <w:p>
      <w:pPr>
        <w:ind w:firstLine="632"/>
      </w:pPr>
      <w:r>
        <w:rPr>
          <w:rFonts w:hint="eastAsia"/>
        </w:rPr>
        <w:t>1、《福建省人民政府关于同意调整三明市部分行政区划的批复》（闽政文［2021］49号）</w:t>
      </w:r>
    </w:p>
    <w:p>
      <w:pPr>
        <w:ind w:firstLine="632"/>
      </w:pPr>
      <w:r>
        <w:rPr>
          <w:rFonts w:hint="eastAsia"/>
        </w:rPr>
        <w:t>2、《关于做好三元区高标准农田建设规划（2021-2030年）编制工作的函》（元农函［2022］19号）</w:t>
      </w:r>
    </w:p>
    <w:p>
      <w:pPr>
        <w:pStyle w:val="4"/>
        <w:spacing w:before="156" w:after="156"/>
        <w:rPr>
          <w:bCs/>
          <w:kern w:val="0"/>
        </w:rPr>
      </w:pPr>
      <w:bookmarkStart w:id="227" w:name="_Toc26141"/>
      <w:bookmarkStart w:id="228" w:name="_Toc26428"/>
      <w:bookmarkStart w:id="229" w:name="_Toc5623"/>
      <w:r>
        <w:rPr>
          <w:rFonts w:hint="eastAsia"/>
          <w:bCs/>
          <w:kern w:val="0"/>
        </w:rPr>
        <w:t>附表</w:t>
      </w:r>
      <w:bookmarkEnd w:id="227"/>
      <w:bookmarkEnd w:id="228"/>
      <w:bookmarkEnd w:id="229"/>
    </w:p>
    <w:p>
      <w:pPr>
        <w:ind w:firstLine="632"/>
      </w:pPr>
      <w:r>
        <w:rPr>
          <w:rFonts w:hint="eastAsia"/>
        </w:rPr>
        <w:t>1、三元区已建高标准农田清单（至2020年）</w:t>
      </w:r>
    </w:p>
    <w:p>
      <w:pPr>
        <w:ind w:firstLine="632"/>
      </w:pPr>
      <w:r>
        <w:rPr>
          <w:rFonts w:hint="eastAsia"/>
        </w:rPr>
        <w:t>2、三元区规划主要指标表</w:t>
      </w:r>
    </w:p>
    <w:p>
      <w:pPr>
        <w:ind w:firstLine="632"/>
      </w:pPr>
      <w:r>
        <w:rPr>
          <w:rFonts w:hint="eastAsia"/>
        </w:rPr>
        <w:t>3、三元区高标准农田建设专项规划（2021-2030年）规划项目库</w:t>
      </w:r>
    </w:p>
    <w:p>
      <w:pPr>
        <w:pStyle w:val="4"/>
        <w:spacing w:before="156" w:after="156"/>
        <w:rPr>
          <w:rFonts w:ascii="Times New Roman" w:hAnsi="Times New Roman"/>
        </w:rPr>
      </w:pPr>
      <w:bookmarkStart w:id="230" w:name="_Toc28323"/>
      <w:bookmarkStart w:id="231" w:name="_Toc32643"/>
      <w:bookmarkStart w:id="232" w:name="_Toc7562"/>
      <w:r>
        <w:rPr>
          <w:rFonts w:hint="eastAsia" w:ascii="Times New Roman" w:hAnsi="Times New Roman"/>
        </w:rPr>
        <w:t>附图</w:t>
      </w:r>
      <w:bookmarkEnd w:id="230"/>
      <w:bookmarkEnd w:id="231"/>
      <w:bookmarkEnd w:id="232"/>
    </w:p>
    <w:p>
      <w:pPr>
        <w:ind w:firstLine="632"/>
      </w:pPr>
      <w:r>
        <w:rPr>
          <w:rFonts w:hint="eastAsia"/>
        </w:rPr>
        <w:t>附图1-2、陈大镇现状图（一）、（二）</w:t>
      </w:r>
    </w:p>
    <w:p>
      <w:pPr>
        <w:ind w:firstLine="632"/>
      </w:pPr>
      <w:r>
        <w:rPr>
          <w:rFonts w:hint="eastAsia"/>
        </w:rPr>
        <w:t>附图3-4、岩前镇现状图（一）、（二）</w:t>
      </w:r>
    </w:p>
    <w:p>
      <w:pPr>
        <w:ind w:firstLine="632"/>
      </w:pPr>
      <w:r>
        <w:rPr>
          <w:rFonts w:hint="eastAsia"/>
        </w:rPr>
        <w:t>附图5-6、莘口镇现状图（一）、（二）</w:t>
      </w:r>
    </w:p>
    <w:p>
      <w:pPr>
        <w:ind w:firstLine="632"/>
      </w:pPr>
      <w:r>
        <w:rPr>
          <w:rFonts w:hint="eastAsia"/>
        </w:rPr>
        <w:t>附图7-8、中村乡现状图（一）、（二）</w:t>
      </w:r>
    </w:p>
    <w:p>
      <w:pPr>
        <w:ind w:firstLine="632"/>
      </w:pPr>
      <w:r>
        <w:rPr>
          <w:rFonts w:hint="eastAsia"/>
        </w:rPr>
        <w:t>附图9-10、洋溪镇现状图（一）、（二）</w:t>
      </w:r>
    </w:p>
    <w:p>
      <w:pPr>
        <w:ind w:firstLine="632"/>
      </w:pPr>
      <w:r>
        <w:rPr>
          <w:rFonts w:hint="eastAsia"/>
        </w:rPr>
        <w:t>附图11、三元区行政区域及主要水系汇总图</w:t>
      </w:r>
    </w:p>
    <w:p>
      <w:pPr>
        <w:ind w:firstLine="632"/>
      </w:pPr>
      <w:r>
        <w:rPr>
          <w:rFonts w:hint="eastAsia"/>
        </w:rPr>
        <w:t>附图12、三元区耕地现状图</w:t>
      </w:r>
    </w:p>
    <w:p>
      <w:pPr>
        <w:ind w:firstLine="632"/>
      </w:pPr>
      <w:r>
        <w:rPr>
          <w:rFonts w:hint="eastAsia"/>
        </w:rPr>
        <w:t>附图13、三元区永久基本农田分布图</w:t>
      </w:r>
    </w:p>
    <w:p>
      <w:pPr>
        <w:ind w:firstLine="632"/>
      </w:pPr>
      <w:r>
        <w:rPr>
          <w:rFonts w:hint="eastAsia"/>
        </w:rPr>
        <w:t>附图14、三元区粮食产能功能区布置图</w:t>
      </w:r>
    </w:p>
    <w:p>
      <w:pPr>
        <w:ind w:firstLine="632"/>
      </w:pPr>
      <w:r>
        <w:rPr>
          <w:rFonts w:hint="eastAsia"/>
        </w:rPr>
        <w:t>附图15、三元区项目实施图</w:t>
      </w:r>
    </w:p>
    <w:p>
      <w:pPr>
        <w:ind w:firstLine="632"/>
      </w:pPr>
      <w:r>
        <w:rPr>
          <w:rFonts w:hint="eastAsia"/>
        </w:rPr>
        <w:t>附图16、陈大镇项目实施图</w:t>
      </w:r>
    </w:p>
    <w:p>
      <w:pPr>
        <w:ind w:firstLine="632"/>
      </w:pPr>
      <w:r>
        <w:rPr>
          <w:rFonts w:hint="eastAsia"/>
        </w:rPr>
        <w:t>附图17、岩前镇项目实施图</w:t>
      </w:r>
    </w:p>
    <w:p>
      <w:pPr>
        <w:ind w:firstLine="632"/>
      </w:pPr>
      <w:r>
        <w:rPr>
          <w:rFonts w:hint="eastAsia"/>
        </w:rPr>
        <w:t>附图18、莘口镇项目实施图</w:t>
      </w:r>
    </w:p>
    <w:p>
      <w:pPr>
        <w:ind w:firstLine="632"/>
      </w:pPr>
      <w:r>
        <w:rPr>
          <w:rFonts w:hint="eastAsia"/>
        </w:rPr>
        <w:t>附图19、中村乡项目实施图</w:t>
      </w:r>
    </w:p>
    <w:p>
      <w:pPr>
        <w:ind w:firstLine="632"/>
      </w:pPr>
      <w:r>
        <w:rPr>
          <w:rFonts w:hint="eastAsia"/>
        </w:rPr>
        <w:t>附图20、洋溪镇项目实施图</w:t>
      </w:r>
    </w:p>
    <w:p>
      <w:pPr>
        <w:ind w:firstLine="632"/>
      </w:pPr>
      <w:r>
        <w:rPr>
          <w:rFonts w:hint="eastAsia"/>
        </w:rPr>
        <w:t>附图21、徐碧街道项目实施图</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5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5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32"/>
      <w:rPr>
        <w:rFonts w:ascii="仿宋" w:hAnsi="仿宋" w:cs="仿宋"/>
        <w:szCs w:val="2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rPr>
        <w:rFonts w:ascii="幼圆" w:hAnsi="幼圆" w:eastAsia="幼圆" w:cs="幼圆"/>
      </w:rPr>
    </w:pPr>
    <w: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path/>
          <v:fill on="f" focussize="0,0"/>
          <v:stroke on="f" weight="0.5pt" joinstyle="miter"/>
          <v:imagedata o:title=""/>
          <o:lock v:ext="edit"/>
          <v:textbox inset="0mm,0mm,0mm,0mm" style="mso-fit-shape-to-text:t;">
            <w:txbxContent>
              <w:p>
                <w:pPr>
                  <w:pStyle w:val="7"/>
                  <w:ind w:firstLine="360"/>
                </w:pPr>
                <w:r>
                  <w:fldChar w:fldCharType="begin"/>
                </w:r>
                <w:r>
                  <w:instrText xml:space="preserve"> PAGE  \* MERGEFORMAT </w:instrText>
                </w:r>
                <w:r>
                  <w:fldChar w:fldCharType="separate"/>
                </w:r>
                <w:r>
                  <w:t>10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rPr>
        <w:rFonts w:ascii="仿宋" w:hAnsi="仿宋" w:cs="仿宋"/>
        <w:szCs w:val="26"/>
      </w:rPr>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path/>
          <v:fill on="f" focussize="0,0"/>
          <v:stroke on="f" weight="0.5pt" joinstyle="miter"/>
          <v:imagedata o:title=""/>
          <o:lock v:ext="edit"/>
          <v:textbox inset="0mm,0mm,0mm,0mm" style="mso-fit-shape-to-text:t;">
            <w:txbxContent>
              <w:p>
                <w:pPr>
                  <w:pStyle w:val="7"/>
                  <w:ind w:firstLine="360"/>
                </w:pPr>
                <w:r>
                  <w:fldChar w:fldCharType="begin"/>
                </w:r>
                <w:r>
                  <w:instrText xml:space="preserve"> PAGE  \* MERGEFORMAT </w:instrText>
                </w:r>
                <w:r>
                  <w:fldChar w:fldCharType="separate"/>
                </w:r>
                <w:r>
                  <w:t>16</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rPr>
        <w:rFonts w:ascii="幼圆" w:hAnsi="幼圆" w:eastAsia="幼圆" w:cs="幼圆"/>
        <w:szCs w:val="30"/>
      </w:rPr>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path/>
          <v:fill on="f" focussize="0,0"/>
          <v:stroke on="f" weight="0.5pt" joinstyle="miter"/>
          <v:imagedata o:title=""/>
          <o:lock v:ext="edit"/>
          <v:textbox inset="0mm,0mm,0mm,0mm" style="mso-fit-shape-to-text:t;">
            <w:txbxContent>
              <w:p>
                <w:pPr>
                  <w:pStyle w:val="7"/>
                  <w:ind w:firstLine="360"/>
                </w:pPr>
                <w:r>
                  <w:fldChar w:fldCharType="begin"/>
                </w:r>
                <w:r>
                  <w:instrText xml:space="preserve"> PAGE  \* MERGEFORMAT </w:instrText>
                </w:r>
                <w:r>
                  <w:fldChar w:fldCharType="separate"/>
                </w:r>
                <w:r>
                  <w:t>68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32"/>
      </w:pPr>
      <w:r>
        <w:separator/>
      </w:r>
    </w:p>
  </w:footnote>
  <w:footnote w:type="continuationSeparator" w:id="1">
    <w:p>
      <w:pPr>
        <w:spacing w:line="36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5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5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164F4"/>
    <w:multiLevelType w:val="singleLevel"/>
    <w:tmpl w:val="88C164F4"/>
    <w:lvl w:ilvl="0" w:tentative="0">
      <w:start w:val="1"/>
      <w:numFmt w:val="decimal"/>
      <w:suff w:val="nothing"/>
      <w:lvlText w:val="（%1）"/>
      <w:lvlJc w:val="left"/>
    </w:lvl>
  </w:abstractNum>
  <w:abstractNum w:abstractNumId="1">
    <w:nsid w:val="8F19CB93"/>
    <w:multiLevelType w:val="singleLevel"/>
    <w:tmpl w:val="8F19CB93"/>
    <w:lvl w:ilvl="0" w:tentative="0">
      <w:start w:val="1"/>
      <w:numFmt w:val="chineseCounting"/>
      <w:suff w:val="nothing"/>
      <w:lvlText w:val="%1、"/>
      <w:lvlJc w:val="left"/>
      <w:rPr>
        <w:rFonts w:hint="eastAsia"/>
      </w:rPr>
    </w:lvl>
  </w:abstractNum>
  <w:abstractNum w:abstractNumId="2">
    <w:nsid w:val="91DAF3CB"/>
    <w:multiLevelType w:val="singleLevel"/>
    <w:tmpl w:val="91DAF3CB"/>
    <w:lvl w:ilvl="0" w:tentative="0">
      <w:start w:val="1"/>
      <w:numFmt w:val="chineseCounting"/>
      <w:suff w:val="nothing"/>
      <w:lvlText w:val="%1、"/>
      <w:lvlJc w:val="left"/>
      <w:rPr>
        <w:rFonts w:hint="eastAsia"/>
      </w:rPr>
    </w:lvl>
  </w:abstractNum>
  <w:abstractNum w:abstractNumId="3">
    <w:nsid w:val="93B31571"/>
    <w:multiLevelType w:val="singleLevel"/>
    <w:tmpl w:val="93B31571"/>
    <w:lvl w:ilvl="0" w:tentative="0">
      <w:start w:val="1"/>
      <w:numFmt w:val="chineseCounting"/>
      <w:suff w:val="nothing"/>
      <w:lvlText w:val="%1、"/>
      <w:lvlJc w:val="left"/>
      <w:rPr>
        <w:rFonts w:hint="eastAsia"/>
      </w:rPr>
    </w:lvl>
  </w:abstractNum>
  <w:abstractNum w:abstractNumId="4">
    <w:nsid w:val="9AC65283"/>
    <w:multiLevelType w:val="singleLevel"/>
    <w:tmpl w:val="9AC65283"/>
    <w:lvl w:ilvl="0" w:tentative="0">
      <w:start w:val="1"/>
      <w:numFmt w:val="chineseCounting"/>
      <w:suff w:val="nothing"/>
      <w:lvlText w:val="%1、"/>
      <w:lvlJc w:val="left"/>
      <w:rPr>
        <w:rFonts w:hint="eastAsia"/>
      </w:rPr>
    </w:lvl>
  </w:abstractNum>
  <w:abstractNum w:abstractNumId="5">
    <w:nsid w:val="BB07483B"/>
    <w:multiLevelType w:val="singleLevel"/>
    <w:tmpl w:val="BB07483B"/>
    <w:lvl w:ilvl="0" w:tentative="0">
      <w:start w:val="1"/>
      <w:numFmt w:val="chineseCounting"/>
      <w:suff w:val="nothing"/>
      <w:lvlText w:val="%1、"/>
      <w:lvlJc w:val="left"/>
      <w:rPr>
        <w:rFonts w:hint="eastAsia"/>
      </w:rPr>
    </w:lvl>
  </w:abstractNum>
  <w:abstractNum w:abstractNumId="6">
    <w:nsid w:val="CB6C5486"/>
    <w:multiLevelType w:val="singleLevel"/>
    <w:tmpl w:val="CB6C5486"/>
    <w:lvl w:ilvl="0" w:tentative="0">
      <w:start w:val="1"/>
      <w:numFmt w:val="chineseCounting"/>
      <w:suff w:val="nothing"/>
      <w:lvlText w:val="%1、"/>
      <w:lvlJc w:val="left"/>
      <w:rPr>
        <w:rFonts w:hint="eastAsia"/>
      </w:rPr>
    </w:lvl>
  </w:abstractNum>
  <w:abstractNum w:abstractNumId="7">
    <w:nsid w:val="CD906262"/>
    <w:multiLevelType w:val="singleLevel"/>
    <w:tmpl w:val="CD906262"/>
    <w:lvl w:ilvl="0" w:tentative="0">
      <w:start w:val="1"/>
      <w:numFmt w:val="chineseCounting"/>
      <w:suff w:val="nothing"/>
      <w:lvlText w:val="%1、"/>
      <w:lvlJc w:val="left"/>
      <w:rPr>
        <w:rFonts w:hint="eastAsia"/>
      </w:rPr>
    </w:lvl>
  </w:abstractNum>
  <w:abstractNum w:abstractNumId="8">
    <w:nsid w:val="DB125E5C"/>
    <w:multiLevelType w:val="singleLevel"/>
    <w:tmpl w:val="DB125E5C"/>
    <w:lvl w:ilvl="0" w:tentative="0">
      <w:start w:val="1"/>
      <w:numFmt w:val="chineseCounting"/>
      <w:suff w:val="nothing"/>
      <w:lvlText w:val="%1、"/>
      <w:lvlJc w:val="left"/>
      <w:rPr>
        <w:rFonts w:hint="eastAsia"/>
      </w:rPr>
    </w:lvl>
  </w:abstractNum>
  <w:abstractNum w:abstractNumId="9">
    <w:nsid w:val="E44F8FE9"/>
    <w:multiLevelType w:val="singleLevel"/>
    <w:tmpl w:val="E44F8FE9"/>
    <w:lvl w:ilvl="0" w:tentative="0">
      <w:start w:val="1"/>
      <w:numFmt w:val="chineseCounting"/>
      <w:suff w:val="nothing"/>
      <w:lvlText w:val="%1、"/>
      <w:lvlJc w:val="left"/>
      <w:rPr>
        <w:rFonts w:hint="eastAsia"/>
      </w:rPr>
    </w:lvl>
  </w:abstractNum>
  <w:abstractNum w:abstractNumId="10">
    <w:nsid w:val="1EF7EE93"/>
    <w:multiLevelType w:val="singleLevel"/>
    <w:tmpl w:val="1EF7EE93"/>
    <w:lvl w:ilvl="0" w:tentative="0">
      <w:start w:val="1"/>
      <w:numFmt w:val="chineseCounting"/>
      <w:suff w:val="nothing"/>
      <w:lvlText w:val="%1、"/>
      <w:lvlJc w:val="left"/>
      <w:rPr>
        <w:rFonts w:hint="eastAsia"/>
      </w:rPr>
    </w:lvl>
  </w:abstractNum>
  <w:abstractNum w:abstractNumId="11">
    <w:nsid w:val="5D502457"/>
    <w:multiLevelType w:val="singleLevel"/>
    <w:tmpl w:val="5D502457"/>
    <w:lvl w:ilvl="0" w:tentative="0">
      <w:start w:val="1"/>
      <w:numFmt w:val="chineseCounting"/>
      <w:suff w:val="nothing"/>
      <w:lvlText w:val="%1、"/>
      <w:lvlJc w:val="left"/>
      <w:rPr>
        <w:rFonts w:hint="eastAsia"/>
      </w:rPr>
    </w:lvl>
  </w:abstractNum>
  <w:abstractNum w:abstractNumId="12">
    <w:nsid w:val="60BA18FF"/>
    <w:multiLevelType w:val="singleLevel"/>
    <w:tmpl w:val="60BA18FF"/>
    <w:lvl w:ilvl="0" w:tentative="0">
      <w:start w:val="1"/>
      <w:numFmt w:val="decimal"/>
      <w:suff w:val="nothing"/>
      <w:lvlText w:val="%1、"/>
      <w:lvlJc w:val="left"/>
    </w:lvl>
  </w:abstractNum>
  <w:abstractNum w:abstractNumId="13">
    <w:nsid w:val="664CB107"/>
    <w:multiLevelType w:val="singleLevel"/>
    <w:tmpl w:val="664CB107"/>
    <w:lvl w:ilvl="0" w:tentative="0">
      <w:start w:val="1"/>
      <w:numFmt w:val="chineseCounting"/>
      <w:suff w:val="nothing"/>
      <w:lvlText w:val="%1、"/>
      <w:lvlJc w:val="left"/>
      <w:rPr>
        <w:rFonts w:hint="eastAsia"/>
      </w:rPr>
    </w:lvl>
  </w:abstractNum>
  <w:abstractNum w:abstractNumId="14">
    <w:nsid w:val="6D86F6C7"/>
    <w:multiLevelType w:val="singleLevel"/>
    <w:tmpl w:val="6D86F6C7"/>
    <w:lvl w:ilvl="0" w:tentative="0">
      <w:start w:val="1"/>
      <w:numFmt w:val="chineseCounting"/>
      <w:suff w:val="nothing"/>
      <w:lvlText w:val="%1、"/>
      <w:lvlJc w:val="left"/>
      <w:rPr>
        <w:rFonts w:hint="eastAsia"/>
      </w:rPr>
    </w:lvl>
  </w:abstractNum>
  <w:abstractNum w:abstractNumId="15">
    <w:nsid w:val="770DF088"/>
    <w:multiLevelType w:val="singleLevel"/>
    <w:tmpl w:val="770DF088"/>
    <w:lvl w:ilvl="0" w:tentative="0">
      <w:start w:val="1"/>
      <w:numFmt w:val="chineseCounting"/>
      <w:suff w:val="nothing"/>
      <w:lvlText w:val="%1、"/>
      <w:lvlJc w:val="left"/>
      <w:rPr>
        <w:rFonts w:hint="eastAsia"/>
      </w:rPr>
    </w:lvl>
  </w:abstractNum>
  <w:num w:numId="1">
    <w:abstractNumId w:val="7"/>
  </w:num>
  <w:num w:numId="2">
    <w:abstractNumId w:val="8"/>
  </w:num>
  <w:num w:numId="3">
    <w:abstractNumId w:val="13"/>
  </w:num>
  <w:num w:numId="4">
    <w:abstractNumId w:val="6"/>
  </w:num>
  <w:num w:numId="5">
    <w:abstractNumId w:val="14"/>
  </w:num>
  <w:num w:numId="6">
    <w:abstractNumId w:val="9"/>
  </w:num>
  <w:num w:numId="7">
    <w:abstractNumId w:val="12"/>
  </w:num>
  <w:num w:numId="8">
    <w:abstractNumId w:val="11"/>
  </w:num>
  <w:num w:numId="9">
    <w:abstractNumId w:val="5"/>
  </w:num>
  <w:num w:numId="10">
    <w:abstractNumId w:val="10"/>
  </w:num>
  <w:num w:numId="11">
    <w:abstractNumId w:val="0"/>
  </w:num>
  <w:num w:numId="12">
    <w:abstractNumId w:val="3"/>
  </w:num>
  <w:num w:numId="13">
    <w:abstractNumId w:val="4"/>
  </w:num>
  <w:num w:numId="14">
    <w:abstractNumId w:val="2"/>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NiMGIyZjVmZGFhY2NlZmRhNWFmMzMzMTY2NjkxYWMifQ=="/>
  </w:docVars>
  <w:rsids>
    <w:rsidRoot w:val="70E60AB9"/>
    <w:rsid w:val="001D6FB1"/>
    <w:rsid w:val="009665A6"/>
    <w:rsid w:val="00C45E81"/>
    <w:rsid w:val="01481161"/>
    <w:rsid w:val="0168394A"/>
    <w:rsid w:val="029F7CC1"/>
    <w:rsid w:val="02FE3BF8"/>
    <w:rsid w:val="08B03A68"/>
    <w:rsid w:val="0C0B585A"/>
    <w:rsid w:val="0FAC4C5F"/>
    <w:rsid w:val="13231A6B"/>
    <w:rsid w:val="137B5074"/>
    <w:rsid w:val="15E45152"/>
    <w:rsid w:val="16341504"/>
    <w:rsid w:val="16C858AD"/>
    <w:rsid w:val="17FE4AAC"/>
    <w:rsid w:val="1B7C6776"/>
    <w:rsid w:val="1FDE3C53"/>
    <w:rsid w:val="223E2EBF"/>
    <w:rsid w:val="239260B2"/>
    <w:rsid w:val="255B4D05"/>
    <w:rsid w:val="2B3F716D"/>
    <w:rsid w:val="2EF22236"/>
    <w:rsid w:val="33DF6B01"/>
    <w:rsid w:val="390A4620"/>
    <w:rsid w:val="3B3C6E72"/>
    <w:rsid w:val="3C681E10"/>
    <w:rsid w:val="3F2E2669"/>
    <w:rsid w:val="3F663C97"/>
    <w:rsid w:val="40E8793D"/>
    <w:rsid w:val="41E33AEE"/>
    <w:rsid w:val="42197FED"/>
    <w:rsid w:val="44937BC0"/>
    <w:rsid w:val="44F065A9"/>
    <w:rsid w:val="4884619D"/>
    <w:rsid w:val="49FF729E"/>
    <w:rsid w:val="4B700C5B"/>
    <w:rsid w:val="4FD63DB7"/>
    <w:rsid w:val="4FEF6B48"/>
    <w:rsid w:val="58A106A5"/>
    <w:rsid w:val="59525AF5"/>
    <w:rsid w:val="5E873E9A"/>
    <w:rsid w:val="64D21BE7"/>
    <w:rsid w:val="650F6997"/>
    <w:rsid w:val="66E520A5"/>
    <w:rsid w:val="66F75934"/>
    <w:rsid w:val="69BD5684"/>
    <w:rsid w:val="6A8B2F63"/>
    <w:rsid w:val="6C2837AF"/>
    <w:rsid w:val="701557A9"/>
    <w:rsid w:val="70E60AB9"/>
    <w:rsid w:val="72DD168B"/>
    <w:rsid w:val="768014A2"/>
    <w:rsid w:val="776C1A27"/>
    <w:rsid w:val="778C0D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imes New Roman"/>
      <w:spacing w:val="-2"/>
      <w:kern w:val="2"/>
      <w:sz w:val="32"/>
      <w:szCs w:val="28"/>
      <w:lang w:val="en-US" w:eastAsia="zh-CN" w:bidi="ar-SA"/>
    </w:rPr>
  </w:style>
  <w:style w:type="paragraph" w:styleId="3">
    <w:name w:val="heading 1"/>
    <w:basedOn w:val="1"/>
    <w:next w:val="1"/>
    <w:qFormat/>
    <w:uiPriority w:val="0"/>
    <w:pPr>
      <w:keepNext/>
      <w:ind w:firstLine="0" w:firstLineChars="0"/>
      <w:jc w:val="center"/>
      <w:outlineLvl w:val="0"/>
    </w:pPr>
    <w:rPr>
      <w:rFonts w:eastAsia="黑体"/>
      <w:sz w:val="44"/>
      <w:szCs w:val="32"/>
    </w:rPr>
  </w:style>
  <w:style w:type="paragraph" w:styleId="4">
    <w:name w:val="heading 2"/>
    <w:basedOn w:val="1"/>
    <w:next w:val="1"/>
    <w:qFormat/>
    <w:uiPriority w:val="0"/>
    <w:pPr>
      <w:keepNext/>
      <w:keepLines/>
      <w:spacing w:beforeLines="50" w:afterLines="50" w:line="413" w:lineRule="auto"/>
      <w:ind w:firstLine="0" w:firstLineChars="0"/>
      <w:jc w:val="center"/>
      <w:outlineLvl w:val="1"/>
    </w:pPr>
    <w:rPr>
      <w:rFonts w:ascii="宋体" w:hAnsi="宋体" w:eastAsia="华文中宋"/>
      <w:b/>
      <w:szCs w:val="20"/>
    </w:rPr>
  </w:style>
  <w:style w:type="paragraph" w:styleId="5">
    <w:name w:val="heading 3"/>
    <w:basedOn w:val="1"/>
    <w:next w:val="1"/>
    <w:qFormat/>
    <w:uiPriority w:val="0"/>
    <w:pPr>
      <w:keepNext/>
      <w:widowControl/>
      <w:spacing w:beforeLines="30" w:afterLines="30"/>
      <w:ind w:firstLine="0" w:firstLineChars="0"/>
      <w:jc w:val="center"/>
      <w:outlineLvl w:val="2"/>
    </w:pPr>
    <w:rPr>
      <w:rFonts w:ascii="微软雅黑" w:hAnsi="微软雅黑" w:eastAsia="楷体" w:cs="微软雅黑"/>
      <w:b/>
      <w:bCs/>
      <w:sz w:val="36"/>
      <w:lang w:eastAsia="en-US"/>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6">
    <w:name w:val="Body Text"/>
    <w:basedOn w:val="1"/>
    <w:qFormat/>
    <w:uiPriority w:val="0"/>
    <w:pPr>
      <w:spacing w:line="240" w:lineRule="auto"/>
      <w:ind w:firstLine="0" w:firstLineChars="0"/>
    </w:pPr>
    <w:rPr>
      <w:rFonts w:ascii="宋体" w:hAnsi="宋体" w:cs="宋体"/>
      <w:sz w:val="28"/>
      <w:lang w:eastAsia="en-US"/>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Title"/>
    <w:basedOn w:val="1"/>
    <w:next w:val="1"/>
    <w:qFormat/>
    <w:uiPriority w:val="0"/>
    <w:pPr>
      <w:spacing w:before="240" w:after="60"/>
      <w:jc w:val="center"/>
      <w:outlineLvl w:val="0"/>
    </w:pPr>
    <w:rPr>
      <w:rFonts w:eastAsia="宋体"/>
      <w:b/>
      <w:bCs/>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80</Pages>
  <Words>28674</Words>
  <Characters>31393</Characters>
  <Lines>259</Lines>
  <Paragraphs>73</Paragraphs>
  <TotalTime>17</TotalTime>
  <ScaleCrop>false</ScaleCrop>
  <LinksUpToDate>false</LinksUpToDate>
  <CharactersWithSpaces>31646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2022-11-16T03:11:00Z</dcterms:created>
  <dc:creator>马铭利</dc:creator>
  <cp:lastModifiedBy>Administrator</cp:lastModifiedBy>
  <dcterms:modified xsi:type="dcterms:W3CDTF">2023-07-19T03:34:44Z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118991A0BE61479FA8CB1096123A0067</vt:lpwstr>
  </property>
</Properties>
</file>