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Layout w:type="fixed"/>
        <w:tblCellMar>
          <w:top w:w="0" w:type="dxa"/>
          <w:left w:w="28" w:type="dxa"/>
          <w:bottom w:w="0" w:type="dxa"/>
          <w:right w:w="28" w:type="dxa"/>
        </w:tblCellMar>
      </w:tblPr>
      <w:tblGrid>
        <w:gridCol w:w="2184"/>
        <w:gridCol w:w="6942"/>
      </w:tblGrid>
      <w:tr>
        <w:tblPrEx>
          <w:tblCellMar>
            <w:top w:w="0" w:type="dxa"/>
            <w:left w:w="28" w:type="dxa"/>
            <w:bottom w:w="0" w:type="dxa"/>
            <w:right w:w="28" w:type="dxa"/>
          </w:tblCellMar>
        </w:tblPrEx>
        <w:trPr>
          <w:jc w:val="center"/>
        </w:trPr>
        <w:tc>
          <w:tcPr>
            <w:tcW w:w="2184"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right="0"/>
              <w:jc w:val="distribute"/>
              <w:textAlignment w:val="auto"/>
              <w:rPr>
                <w:rFonts w:hint="eastAsia" w:ascii="宋体" w:hAnsi="宋体" w:eastAsia="楷体_GB2312"/>
                <w:spacing w:val="0"/>
                <w:sz w:val="36"/>
                <w:szCs w:val="36"/>
              </w:rPr>
            </w:pPr>
            <w:bookmarkStart w:id="0" w:name="_GoBack"/>
            <w:bookmarkEnd w:id="0"/>
            <w:r>
              <w:rPr>
                <w:rFonts w:hint="eastAsia" w:ascii="宋体" w:hAnsi="宋体" w:eastAsia="楷体_GB2312"/>
                <w:spacing w:val="-11"/>
                <w:sz w:val="36"/>
                <w:szCs w:val="36"/>
              </w:rPr>
              <w:t>区政府常务会</w:t>
            </w:r>
          </w:p>
        </w:tc>
        <w:tc>
          <w:tcPr>
            <w:tcW w:w="6942"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right="0"/>
              <w:jc w:val="right"/>
              <w:textAlignment w:val="auto"/>
              <w:rPr>
                <w:rFonts w:hint="eastAsia" w:ascii="宋体" w:hAnsi="宋体" w:eastAsia="黑体"/>
                <w:spacing w:val="0"/>
                <w:sz w:val="36"/>
                <w:szCs w:val="36"/>
              </w:rPr>
            </w:pPr>
            <w:r>
              <w:rPr>
                <w:rFonts w:hint="eastAsia" w:ascii="宋体" w:hAnsi="宋体" w:eastAsia="黑体"/>
                <w:spacing w:val="0"/>
                <w:sz w:val="36"/>
                <w:szCs w:val="36"/>
              </w:rPr>
              <w:t>内部资料</w:t>
            </w:r>
          </w:p>
        </w:tc>
      </w:tr>
      <w:tr>
        <w:tblPrEx>
          <w:tblCellMar>
            <w:top w:w="0" w:type="dxa"/>
            <w:left w:w="28" w:type="dxa"/>
            <w:bottom w:w="0" w:type="dxa"/>
            <w:right w:w="28" w:type="dxa"/>
          </w:tblCellMar>
        </w:tblPrEx>
        <w:trPr>
          <w:jc w:val="center"/>
        </w:trPr>
        <w:tc>
          <w:tcPr>
            <w:tcW w:w="2184"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right="0"/>
              <w:jc w:val="distribute"/>
              <w:textAlignment w:val="auto"/>
              <w:rPr>
                <w:rFonts w:hint="eastAsia" w:ascii="宋体" w:hAnsi="宋体" w:eastAsia="楷体_GB2312"/>
                <w:spacing w:val="0"/>
                <w:sz w:val="36"/>
                <w:szCs w:val="36"/>
              </w:rPr>
            </w:pPr>
            <w:r>
              <w:rPr>
                <w:rFonts w:hint="eastAsia" w:ascii="宋体" w:hAnsi="宋体" w:eastAsia="楷体_GB2312"/>
                <w:spacing w:val="0"/>
                <w:sz w:val="36"/>
                <w:szCs w:val="36"/>
              </w:rPr>
              <w:t>会议材料</w:t>
            </w:r>
          </w:p>
        </w:tc>
        <w:tc>
          <w:tcPr>
            <w:tcW w:w="6942"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right="0"/>
              <w:jc w:val="right"/>
              <w:textAlignment w:val="auto"/>
              <w:rPr>
                <w:rFonts w:hint="eastAsia" w:ascii="宋体" w:hAnsi="宋体" w:eastAsia="黑体"/>
                <w:spacing w:val="0"/>
                <w:sz w:val="36"/>
                <w:szCs w:val="36"/>
              </w:rPr>
            </w:pPr>
            <w:r>
              <w:rPr>
                <w:rFonts w:hint="eastAsia" w:ascii="宋体" w:hAnsi="宋体" w:eastAsia="黑体"/>
                <w:spacing w:val="0"/>
                <w:sz w:val="36"/>
                <w:szCs w:val="36"/>
              </w:rPr>
              <w:t>妥善保管</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方正小标宋简体"/>
          <w:spacing w:val="0"/>
          <w:sz w:val="44"/>
          <w:szCs w:val="44"/>
        </w:rPr>
      </w:pPr>
      <w:r>
        <w:rPr>
          <w:rFonts w:hint="eastAsia" w:ascii="宋体" w:hAnsi="宋体" w:eastAsia="方正小标宋简体"/>
          <w:spacing w:val="0"/>
          <w:sz w:val="44"/>
          <w:szCs w:val="44"/>
          <w:lang w:eastAsia="zh-CN"/>
        </w:rPr>
        <w:t>关于</w:t>
      </w:r>
      <w:r>
        <w:rPr>
          <w:rFonts w:hint="eastAsia" w:ascii="宋体" w:hAnsi="宋体" w:eastAsia="方正小标宋简体"/>
          <w:spacing w:val="0"/>
          <w:sz w:val="44"/>
          <w:szCs w:val="44"/>
        </w:rPr>
        <w:t>《三元区</w:t>
      </w:r>
      <w:r>
        <w:rPr>
          <w:rFonts w:hint="eastAsia" w:ascii="宋体" w:hAnsi="宋体" w:eastAsia="方正小标宋简体"/>
          <w:spacing w:val="0"/>
          <w:sz w:val="44"/>
          <w:szCs w:val="44"/>
          <w:lang w:eastAsia="zh-CN"/>
        </w:rPr>
        <w:t>建立涉企行政检查“零打扰”工作机制</w:t>
      </w:r>
      <w:r>
        <w:rPr>
          <w:rFonts w:hint="eastAsia" w:ascii="宋体" w:hAnsi="宋体" w:eastAsia="方正小标宋简体"/>
          <w:spacing w:val="0"/>
          <w:sz w:val="44"/>
          <w:szCs w:val="44"/>
        </w:rPr>
        <w:t>（送审稿）》起草说明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楷体_GB2312"/>
          <w:spacing w:val="0"/>
          <w:sz w:val="36"/>
          <w:szCs w:val="36"/>
        </w:rPr>
      </w:pPr>
      <w:r>
        <w:rPr>
          <w:rFonts w:hint="eastAsia" w:ascii="宋体" w:hAnsi="宋体" w:eastAsia="楷体_GB2312"/>
          <w:spacing w:val="0"/>
          <w:sz w:val="36"/>
          <w:szCs w:val="36"/>
        </w:rPr>
        <w:t>区发改局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楷体_GB2312"/>
          <w:spacing w:val="0"/>
          <w:sz w:val="36"/>
          <w:szCs w:val="36"/>
        </w:rPr>
      </w:pPr>
      <w:r>
        <w:rPr>
          <w:rFonts w:hint="eastAsia" w:ascii="宋体" w:hAnsi="宋体" w:eastAsia="楷体_GB2312"/>
          <w:spacing w:val="0"/>
          <w:sz w:val="36"/>
          <w:szCs w:val="36"/>
        </w:rPr>
        <w:t>（202</w:t>
      </w:r>
      <w:r>
        <w:rPr>
          <w:rFonts w:hint="eastAsia" w:ascii="宋体" w:hAnsi="宋体" w:eastAsia="楷体_GB2312"/>
          <w:spacing w:val="0"/>
          <w:sz w:val="36"/>
          <w:szCs w:val="36"/>
          <w:lang w:val="en-US" w:eastAsia="zh-CN"/>
        </w:rPr>
        <w:t>3</w:t>
      </w:r>
      <w:r>
        <w:rPr>
          <w:rFonts w:hint="eastAsia" w:ascii="宋体" w:hAnsi="宋体" w:eastAsia="楷体_GB2312"/>
          <w:spacing w:val="0"/>
          <w:sz w:val="36"/>
          <w:szCs w:val="36"/>
        </w:rPr>
        <w:t>年</w:t>
      </w:r>
      <w:r>
        <w:rPr>
          <w:rFonts w:hint="eastAsia" w:ascii="宋体" w:hAnsi="宋体" w:eastAsia="楷体_GB2312"/>
          <w:spacing w:val="0"/>
          <w:sz w:val="36"/>
          <w:szCs w:val="36"/>
          <w:lang w:val="en-US" w:eastAsia="zh-CN"/>
        </w:rPr>
        <w:t>4</w:t>
      </w:r>
      <w:r>
        <w:rPr>
          <w:rFonts w:hint="eastAsia" w:ascii="宋体" w:hAnsi="宋体" w:eastAsia="楷体_GB2312"/>
          <w:spacing w:val="0"/>
          <w:sz w:val="36"/>
          <w:szCs w:val="36"/>
        </w:rPr>
        <w:t>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楷体_GB2312"/>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按照会议安排，现就《三元区建立涉企行政检查“零打扰”工作机制（送审稿）》（以下简称《机制》）起草形成过程及主要内容作简要汇报。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rPr>
      </w:pPr>
      <w:r>
        <w:rPr>
          <w:rFonts w:hint="eastAsia" w:ascii="宋体" w:hAnsi="宋体" w:eastAsia="黑体" w:cs="黑体"/>
          <w:color w:val="auto"/>
          <w:spacing w:val="0"/>
          <w:sz w:val="32"/>
          <w:szCs w:val="32"/>
        </w:rPr>
        <w:t>一、《</w:t>
      </w:r>
      <w:r>
        <w:rPr>
          <w:rFonts w:hint="eastAsia" w:ascii="宋体" w:hAnsi="宋体" w:eastAsia="黑体" w:cs="黑体"/>
          <w:color w:val="auto"/>
          <w:spacing w:val="0"/>
          <w:sz w:val="32"/>
          <w:szCs w:val="32"/>
          <w:lang w:eastAsia="zh-CN"/>
        </w:rPr>
        <w:t>机制</w:t>
      </w:r>
      <w:r>
        <w:rPr>
          <w:rFonts w:hint="eastAsia" w:ascii="宋体" w:hAnsi="宋体" w:eastAsia="黑体" w:cs="黑体"/>
          <w:color w:val="auto"/>
          <w:spacing w:val="0"/>
          <w:sz w:val="32"/>
          <w:szCs w:val="32"/>
        </w:rPr>
        <w:t>》起草形成过程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按照区委、区政府更好地推进“放管服”改革、持续优化营商环境，深化“1620”行动的工作部署要求，我局于3月启动《机制》草拟工作，并分别于2月27日和3月2日以三元区提升营商环境工作推进小组办公室名义将《机制》发送至辖区各企业，相关责任单位、各乡镇（街道）广泛征求意见</w:t>
      </w:r>
      <w:r>
        <w:rPr>
          <w:rFonts w:hint="eastAsia" w:ascii="宋体" w:hAnsi="宋体" w:eastAsia="仿宋_GB2312" w:cs="仿宋_GB2312"/>
          <w:color w:val="auto"/>
          <w:spacing w:val="0"/>
          <w:sz w:val="32"/>
          <w:szCs w:val="32"/>
          <w:lang w:eastAsia="zh-CN"/>
        </w:rPr>
        <w:t>；3月31日，田富远副区长组织相关部门召开专题会议对《机制》进行讨论研究，会后区营商办结合各单位所提意见进行</w:t>
      </w:r>
      <w:r>
        <w:rPr>
          <w:rFonts w:hint="eastAsia" w:ascii="宋体" w:hAnsi="宋体" w:eastAsia="仿宋_GB2312" w:cs="仿宋_GB2312"/>
          <w:color w:val="auto"/>
          <w:spacing w:val="0"/>
          <w:sz w:val="32"/>
          <w:szCs w:val="32"/>
        </w:rPr>
        <w:t>修改完善</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4月3日</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通过内网向相关单位再次征求意见</w:t>
      </w:r>
      <w:r>
        <w:rPr>
          <w:rFonts w:hint="eastAsia" w:ascii="宋体" w:hAnsi="宋体" w:eastAsia="仿宋_GB2312" w:cs="仿宋_GB2312"/>
          <w:color w:val="auto"/>
          <w:spacing w:val="0"/>
          <w:sz w:val="32"/>
          <w:szCs w:val="32"/>
          <w:lang w:eastAsia="zh-CN"/>
        </w:rPr>
        <w:t>并修改；</w:t>
      </w:r>
      <w:r>
        <w:rPr>
          <w:rFonts w:hint="eastAsia" w:ascii="宋体" w:hAnsi="宋体" w:eastAsia="仿宋_GB2312" w:cs="仿宋_GB2312"/>
          <w:color w:val="auto"/>
          <w:spacing w:val="0"/>
          <w:sz w:val="32"/>
          <w:szCs w:val="32"/>
          <w:lang w:val="en-US" w:eastAsia="zh-CN"/>
        </w:rPr>
        <w:t>4月13-19日，经区司法局合法性审查后修改</w:t>
      </w:r>
      <w:r>
        <w:rPr>
          <w:rFonts w:hint="eastAsia" w:ascii="宋体" w:hAnsi="宋体" w:eastAsia="仿宋_GB2312" w:cs="仿宋_GB2312"/>
          <w:color w:val="auto"/>
          <w:spacing w:val="0"/>
          <w:sz w:val="32"/>
          <w:szCs w:val="32"/>
        </w:rPr>
        <w:t>，形成今天提交会议研究的《机制》（送审稿）。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rPr>
      </w:pPr>
      <w:r>
        <w:rPr>
          <w:rFonts w:hint="eastAsia" w:ascii="宋体" w:hAnsi="宋体" w:eastAsia="黑体" w:cs="黑体"/>
          <w:color w:val="auto"/>
          <w:spacing w:val="0"/>
          <w:sz w:val="32"/>
          <w:szCs w:val="32"/>
        </w:rPr>
        <w:t>二、关于</w:t>
      </w:r>
      <w:r>
        <w:rPr>
          <w:rFonts w:hint="eastAsia" w:ascii="宋体" w:hAnsi="宋体" w:eastAsia="黑体" w:cs="黑体"/>
          <w:color w:val="auto"/>
          <w:spacing w:val="0"/>
          <w:sz w:val="32"/>
          <w:szCs w:val="32"/>
          <w:lang w:eastAsia="zh-CN"/>
        </w:rPr>
        <w:t>《机制》</w:t>
      </w:r>
      <w:r>
        <w:rPr>
          <w:rFonts w:hint="eastAsia" w:ascii="宋体" w:hAnsi="宋体" w:eastAsia="黑体" w:cs="黑体"/>
          <w:color w:val="auto"/>
          <w:spacing w:val="0"/>
          <w:sz w:val="32"/>
          <w:szCs w:val="32"/>
        </w:rPr>
        <w:t>框架结构的说明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《机制》分为工作目标、主要内容和工作要求三个部分。其中，</w:t>
      </w:r>
      <w:r>
        <w:rPr>
          <w:rFonts w:hint="eastAsia" w:ascii="宋体" w:hAnsi="宋体" w:eastAsia="仿宋_GB2312" w:cs="仿宋_GB2312"/>
          <w:b/>
          <w:bCs/>
          <w:color w:val="auto"/>
          <w:spacing w:val="0"/>
          <w:sz w:val="32"/>
          <w:szCs w:val="32"/>
        </w:rPr>
        <w:t>工作目标</w:t>
      </w:r>
      <w:r>
        <w:rPr>
          <w:rFonts w:hint="eastAsia" w:ascii="宋体" w:hAnsi="宋体" w:eastAsia="仿宋_GB2312" w:cs="仿宋_GB2312"/>
          <w:color w:val="auto"/>
          <w:spacing w:val="0"/>
          <w:sz w:val="32"/>
          <w:szCs w:val="32"/>
        </w:rPr>
        <w:t>主要阐述了开展涉企行政检查实行“零打扰”工作，减少一切不必要的行政检查，切实为企业减轻负担，优化营商环境；</w:t>
      </w:r>
      <w:r>
        <w:rPr>
          <w:rFonts w:hint="eastAsia" w:ascii="宋体" w:hAnsi="宋体" w:eastAsia="仿宋_GB2312" w:cs="仿宋_GB2312"/>
          <w:b/>
          <w:bCs/>
          <w:color w:val="auto"/>
          <w:spacing w:val="0"/>
          <w:sz w:val="32"/>
          <w:szCs w:val="32"/>
        </w:rPr>
        <w:t>主要内容</w:t>
      </w:r>
      <w:r>
        <w:rPr>
          <w:rFonts w:hint="eastAsia" w:ascii="宋体" w:hAnsi="宋体" w:eastAsia="仿宋_GB2312" w:cs="仿宋_GB2312"/>
          <w:color w:val="auto"/>
          <w:spacing w:val="0"/>
          <w:sz w:val="32"/>
          <w:szCs w:val="32"/>
        </w:rPr>
        <w:t>包括实行企业行政检查“零打扰”制度，建立入企行政检查备案制度，推广部门联合检查机制，推行涉企行政检查陪同制度，加强对涉企行政检查的监督各方面具体内容；</w:t>
      </w:r>
      <w:r>
        <w:rPr>
          <w:rFonts w:hint="eastAsia" w:ascii="宋体" w:hAnsi="宋体" w:eastAsia="仿宋_GB2312" w:cs="仿宋_GB2312"/>
          <w:b/>
          <w:bCs/>
          <w:color w:val="auto"/>
          <w:spacing w:val="0"/>
          <w:sz w:val="32"/>
          <w:szCs w:val="32"/>
        </w:rPr>
        <w:t>工作要求</w:t>
      </w:r>
      <w:r>
        <w:rPr>
          <w:rFonts w:hint="eastAsia" w:ascii="宋体" w:hAnsi="宋体" w:eastAsia="仿宋_GB2312" w:cs="仿宋_GB2312"/>
          <w:color w:val="auto"/>
          <w:spacing w:val="0"/>
          <w:sz w:val="32"/>
          <w:szCs w:val="32"/>
        </w:rPr>
        <w:t>主要从强化宣传发动、组织安排、督查问效三方面推动工作落实。</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lang w:eastAsia="zh-CN"/>
        </w:rPr>
      </w:pPr>
      <w:r>
        <w:rPr>
          <w:rFonts w:hint="eastAsia" w:ascii="宋体" w:hAnsi="宋体" w:eastAsia="黑体" w:cs="黑体"/>
          <w:color w:val="auto"/>
          <w:spacing w:val="0"/>
          <w:sz w:val="32"/>
          <w:szCs w:val="32"/>
          <w:lang w:eastAsia="zh-CN"/>
        </w:rPr>
        <w:t>提前研究事项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olor w:val="auto"/>
          <w:spacing w:val="0"/>
          <w:sz w:val="32"/>
          <w:szCs w:val="32"/>
          <w:lang w:eastAsia="zh-CN"/>
        </w:rPr>
      </w:pPr>
      <w:r>
        <w:rPr>
          <w:rFonts w:hint="eastAsia" w:ascii="宋体" w:hAnsi="宋体" w:eastAsia="仿宋_GB2312"/>
          <w:color w:val="auto"/>
          <w:spacing w:val="0"/>
          <w:sz w:val="32"/>
          <w:szCs w:val="32"/>
          <w:lang w:eastAsia="zh-CN"/>
        </w:rPr>
        <w:t>提请区政府常务会审定</w:t>
      </w:r>
      <w:r>
        <w:rPr>
          <w:rFonts w:hint="eastAsia" w:ascii="宋体" w:hAnsi="宋体" w:eastAsia="仿宋_GB2312" w:cs="仿宋_GB2312"/>
          <w:color w:val="auto"/>
          <w:spacing w:val="0"/>
          <w:sz w:val="32"/>
          <w:szCs w:val="32"/>
        </w:rPr>
        <w:t>《三元区建立涉企行政检查“零打扰”工作机制（送审稿）》</w:t>
      </w:r>
      <w:r>
        <w:rPr>
          <w:rFonts w:hint="eastAsia" w:ascii="宋体" w:hAnsi="宋体" w:eastAsia="仿宋_GB2312"/>
          <w:color w:val="auto"/>
          <w:spacing w:val="0"/>
          <w:sz w:val="32"/>
          <w:szCs w:val="32"/>
          <w:lang w:eastAsia="zh-CN"/>
        </w:rPr>
        <w:t>，通过后以区政府办名义行文下发。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olor w:val="auto"/>
          <w:spacing w:val="0"/>
          <w:sz w:val="32"/>
          <w:szCs w:val="32"/>
          <w:lang w:eastAsia="zh-CN"/>
        </w:rPr>
        <w:t>以上汇报，请区政府常务会审议。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方正小标宋简体" w:cs="方正小标宋简体"/>
          <w:spacing w:val="0"/>
          <w:sz w:val="44"/>
          <w:szCs w:val="36"/>
          <w:highlight w:val="none"/>
        </w:rPr>
        <w:sectPr>
          <w:footerReference r:id="rId3" w:type="default"/>
          <w:pgSz w:w="11906" w:h="16838"/>
          <w:pgMar w:top="1417" w:right="1417" w:bottom="1417" w:left="141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eastAsia="方正小标宋简体"/>
          <w:spacing w:val="0"/>
          <w:sz w:val="44"/>
          <w:szCs w:val="4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eastAsia="方正小标宋简体"/>
          <w:spacing w:val="0"/>
          <w:sz w:val="44"/>
          <w:szCs w:val="44"/>
          <w:lang w:val="en-US" w:eastAsia="zh-CN"/>
        </w:rPr>
      </w:pPr>
      <w:r>
        <w:rPr>
          <w:rFonts w:hint="default" w:ascii="宋体" w:hAnsi="宋体" w:eastAsia="方正小标宋简体"/>
          <w:spacing w:val="0"/>
          <w:sz w:val="44"/>
          <w:szCs w:val="44"/>
          <w:lang w:val="en-US" w:eastAsia="zh-CN"/>
        </w:rPr>
        <w:t>三元区</w:t>
      </w:r>
      <w:r>
        <w:rPr>
          <w:rFonts w:hint="eastAsia" w:ascii="宋体" w:hAnsi="宋体" w:eastAsia="方正小标宋简体"/>
          <w:spacing w:val="0"/>
          <w:sz w:val="44"/>
          <w:szCs w:val="44"/>
          <w:lang w:val="en-US" w:eastAsia="zh-CN"/>
        </w:rPr>
        <w:t>建立</w:t>
      </w:r>
      <w:r>
        <w:rPr>
          <w:rFonts w:hint="default" w:ascii="宋体" w:hAnsi="宋体" w:eastAsia="方正小标宋简体"/>
          <w:spacing w:val="0"/>
          <w:sz w:val="44"/>
          <w:szCs w:val="44"/>
          <w:lang w:val="en-US" w:eastAsia="zh-CN"/>
        </w:rPr>
        <w:t>涉企行政检查“零打扰”工作机制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楷体_GB2312" w:cs="楷体_GB2312"/>
          <w:color w:val="auto"/>
          <w:spacing w:val="0"/>
          <w:sz w:val="36"/>
          <w:szCs w:val="36"/>
          <w:lang w:val="en-US" w:eastAsia="zh-CN"/>
        </w:rPr>
      </w:pPr>
      <w:r>
        <w:rPr>
          <w:rFonts w:hint="eastAsia" w:ascii="宋体" w:hAnsi="宋体" w:eastAsia="楷体_GB2312" w:cs="楷体_GB2312"/>
          <w:color w:val="auto"/>
          <w:spacing w:val="0"/>
          <w:sz w:val="36"/>
          <w:szCs w:val="36"/>
          <w:lang w:val="en-US" w:eastAsia="zh-CN"/>
        </w:rPr>
        <w:t>（2023年4月，送审稿）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为认真贯彻党的二十大精神，深入实施“深学争优、敢为争先、实干争效”行动，贯彻福建省《优化营商环境条例》，全面落实区委、区政府更好地推进“放管服”改革、深化“1620”行动的工作部署。规范监管行为，提升监管效能，全力打造能办事、快办事、办成事的“便利三元”和市场化、法治化、便利化营商环境。现将实行涉企行政检查“零打扰”工作机制有关事项通知如下</w:t>
      </w:r>
      <w:r>
        <w:rPr>
          <w:rFonts w:hint="eastAsia" w:ascii="宋体" w:hAnsi="宋体" w:eastAsia="仿宋_GB2312" w:cs="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黑体"/>
          <w:color w:val="auto"/>
          <w:spacing w:val="0"/>
          <w:sz w:val="32"/>
          <w:szCs w:val="32"/>
          <w:lang w:val="en-US" w:eastAsia="zh-CN"/>
        </w:rPr>
      </w:pPr>
      <w:r>
        <w:rPr>
          <w:rFonts w:hint="eastAsia" w:ascii="宋体" w:hAnsi="宋体" w:eastAsia="黑体" w:cs="黑体"/>
          <w:color w:val="auto"/>
          <w:spacing w:val="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为进一步规范对企业的检查行为，减少各相关部门进入市场主体的检查频次，减少一切不必要的行政检查，做到“有事服务好，无事不打扰”。打造法治化营商环境，切实为企业减轻负担，让企业心无旁骛搞生产，凝心聚力谋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黑体" w:cs="黑体"/>
          <w:color w:val="auto"/>
          <w:spacing w:val="0"/>
          <w:sz w:val="32"/>
          <w:szCs w:val="32"/>
          <w:lang w:val="en-US" w:eastAsia="zh-CN"/>
        </w:rPr>
      </w:pPr>
      <w:r>
        <w:rPr>
          <w:rFonts w:hint="default" w:ascii="宋体" w:hAnsi="宋体" w:eastAsia="黑体" w:cs="黑体"/>
          <w:color w:val="auto"/>
          <w:spacing w:val="0"/>
          <w:sz w:val="32"/>
          <w:szCs w:val="32"/>
          <w:lang w:val="en-US" w:eastAsia="zh-CN"/>
        </w:rPr>
        <w:t>二、</w:t>
      </w:r>
      <w:r>
        <w:rPr>
          <w:rFonts w:hint="eastAsia" w:ascii="宋体" w:hAnsi="宋体" w:eastAsia="黑体" w:cs="黑体"/>
          <w:color w:val="auto"/>
          <w:spacing w:val="0"/>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（一）实行企业行政检查“零打扰”制度。</w:t>
      </w:r>
      <w:r>
        <w:rPr>
          <w:rFonts w:hint="default" w:ascii="宋体" w:hAnsi="宋体" w:eastAsia="仿宋_GB2312" w:cs="仿宋_GB2312"/>
          <w:color w:val="auto"/>
          <w:spacing w:val="0"/>
          <w:sz w:val="32"/>
          <w:szCs w:val="32"/>
          <w:lang w:val="en-US" w:eastAsia="zh-CN"/>
        </w:rPr>
        <w:t>各级各部门依法对不同信用状况的企业开展差异化日常行政检查工作，无特殊情况，各职能部门不得随意检查、干扰企业正常生产经营。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本机制所指行政检查为各行政执法部门权责清单所包含的行政检查事项。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本机制所称企业范围，指的是规模以上工业企业、限额以上批发和零售企业、限额以上住宿和餐饮企业、规模以上服务业企业及有资质的建筑企业和房地产企业</w:t>
      </w:r>
      <w:r>
        <w:rPr>
          <w:rFonts w:hint="eastAsia" w:ascii="宋体" w:hAnsi="宋体" w:eastAsia="仿宋_GB2312" w:cs="仿宋_GB2312"/>
          <w:color w:val="auto"/>
          <w:spacing w:val="0"/>
          <w:sz w:val="32"/>
          <w:szCs w:val="32"/>
          <w:lang w:val="en-US" w:eastAsia="zh-CN"/>
        </w:rPr>
        <w:t>；</w:t>
      </w:r>
      <w:r>
        <w:rPr>
          <w:rFonts w:hint="default" w:ascii="宋体" w:hAnsi="宋体" w:eastAsia="仿宋_GB2312" w:cs="仿宋_GB2312"/>
          <w:color w:val="auto"/>
          <w:spacing w:val="0"/>
          <w:sz w:val="32"/>
          <w:szCs w:val="32"/>
          <w:lang w:val="en-US" w:eastAsia="zh-CN"/>
        </w:rPr>
        <w:t>辖区内在建的各类重点项目。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确需安排检查活动的，必须符合下列情形</w:t>
      </w:r>
      <w:r>
        <w:rPr>
          <w:rFonts w:hint="eastAsia" w:ascii="宋体" w:hAnsi="宋体" w:eastAsia="仿宋_GB2312" w:cs="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1.党中央、国务院及其部门、省委、省政府及其部门、市委、市政府及其部门部署的相关检查。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2.涉及国家安全、公共安全、食品药品安全等直接关系人民群众生命健康事项和公共卫生等突发应急事件。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3.安全生产、环境保护、工程质量等关键领域确需加密检查频次的。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4.经举报对群众正常生产生活或对其他企业生产、项目建设造成不良影响，情节严重，必须进行实地核查处理的。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5.其他需要行政检查的</w:t>
      </w:r>
      <w:r>
        <w:rPr>
          <w:rFonts w:hint="eastAsia" w:ascii="宋体" w:hAnsi="宋体" w:eastAsia="仿宋_GB2312" w:cs="仿宋_GB2312"/>
          <w:color w:val="auto"/>
          <w:spacing w:val="0"/>
          <w:sz w:val="32"/>
          <w:szCs w:val="32"/>
          <w:highlight w:val="yellow"/>
          <w:lang w:val="en-US" w:eastAsia="zh-CN"/>
        </w:rPr>
        <w:t>特殊</w:t>
      </w:r>
      <w:r>
        <w:rPr>
          <w:rFonts w:hint="default" w:ascii="宋体" w:hAnsi="宋体" w:eastAsia="仿宋_GB2312" w:cs="仿宋_GB2312"/>
          <w:color w:val="auto"/>
          <w:spacing w:val="0"/>
          <w:sz w:val="32"/>
          <w:szCs w:val="32"/>
          <w:lang w:val="en-US" w:eastAsia="zh-CN"/>
        </w:rPr>
        <w:t>情形。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（二）建立入企行政检查备案制度。</w:t>
      </w:r>
      <w:r>
        <w:rPr>
          <w:rFonts w:hint="default" w:ascii="宋体" w:hAnsi="宋体" w:eastAsia="仿宋_GB2312" w:cs="仿宋_GB2312"/>
          <w:color w:val="auto"/>
          <w:spacing w:val="0"/>
          <w:sz w:val="32"/>
          <w:szCs w:val="32"/>
          <w:lang w:val="en-US" w:eastAsia="zh-CN"/>
        </w:rPr>
        <w:t>实行入企检查备案制度，检查前</w:t>
      </w:r>
      <w:r>
        <w:rPr>
          <w:rFonts w:hint="eastAsia" w:ascii="宋体" w:hAnsi="宋体" w:eastAsia="仿宋_GB2312" w:cs="仿宋_GB2312"/>
          <w:color w:val="auto"/>
          <w:spacing w:val="0"/>
          <w:sz w:val="32"/>
          <w:szCs w:val="32"/>
          <w:lang w:val="en-US" w:eastAsia="zh-CN"/>
        </w:rPr>
        <w:t>，</w:t>
      </w:r>
      <w:r>
        <w:rPr>
          <w:rFonts w:hint="default" w:ascii="宋体" w:hAnsi="宋体" w:eastAsia="仿宋_GB2312" w:cs="仿宋_GB2312"/>
          <w:color w:val="auto"/>
          <w:spacing w:val="0"/>
          <w:sz w:val="32"/>
          <w:szCs w:val="32"/>
          <w:lang w:val="en-US" w:eastAsia="zh-CN"/>
        </w:rPr>
        <w:t>部门须填写《三元区入企检查备案表》，经本部门主要负责人同意后，提前2个工作日持《备案表》到区营商办备案（备案形式可采用书面递交、邮箱发送报备等）。检查事项相同、检查时间固定的</w:t>
      </w:r>
      <w:r>
        <w:rPr>
          <w:rFonts w:hint="eastAsia" w:ascii="宋体" w:hAnsi="宋体" w:eastAsia="仿宋_GB2312" w:cs="仿宋_GB2312"/>
          <w:color w:val="auto"/>
          <w:spacing w:val="0"/>
          <w:sz w:val="32"/>
          <w:szCs w:val="32"/>
          <w:highlight w:val="yellow"/>
          <w:lang w:val="en-US" w:eastAsia="zh-CN"/>
        </w:rPr>
        <w:t>行政检查行为可</w:t>
      </w:r>
      <w:r>
        <w:rPr>
          <w:rFonts w:hint="default" w:ascii="宋体" w:hAnsi="宋体" w:eastAsia="仿宋_GB2312" w:cs="仿宋_GB2312"/>
          <w:color w:val="auto"/>
          <w:spacing w:val="0"/>
          <w:sz w:val="32"/>
          <w:szCs w:val="32"/>
          <w:lang w:val="en-US" w:eastAsia="zh-CN"/>
        </w:rPr>
        <w:t>采用月度集中备案制度。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检查部门应当严格按照有关规定，制定和公布年度行政检查工作计划，合理确定行政检查的事项、方式、对象、时间等。全面实行“双随机、一公开”，随机抽取检查对象、随机选派执法检查人员，抽查过程及查处结果在随机抽查后及时向社会公开。检查过程中，检查部门须向被检查对象出示相关依据和行政执法证件，否则，被检查对象有权拒绝接受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仿宋_GB2312" w:cs="仿宋_GB2312"/>
          <w:color w:val="auto"/>
          <w:spacing w:val="0"/>
          <w:sz w:val="32"/>
          <w:szCs w:val="32"/>
          <w:lang w:val="en-US" w:eastAsia="zh-CN"/>
        </w:rPr>
        <w:t>因情况紧急或需保密等特别原因，无法提前办理备案手续的，可先按程序进行检查，但应于事后5个工作日内将检查情况报区营商办备案。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（三）推广部门联合检查机制。</w:t>
      </w:r>
      <w:r>
        <w:rPr>
          <w:rFonts w:hint="default" w:ascii="宋体" w:hAnsi="宋体" w:eastAsia="仿宋_GB2312" w:cs="仿宋_GB2312"/>
          <w:color w:val="auto"/>
          <w:spacing w:val="0"/>
          <w:sz w:val="32"/>
          <w:szCs w:val="32"/>
          <w:lang w:val="en-US" w:eastAsia="zh-CN"/>
        </w:rPr>
        <w:t>在合法合规的前提下，控制检查总量和频次，提高监管效能，对同一企业涉及多个部门的检查事项，原则上由牵头部门负责，依托“互联网+监管”平台，发起或接收联合检查任务，联合执法、一次完成。实施跨部门联合涉企检查的，由牵头部门负责备案。同一行政部门多个内设机构和下属单位需要对同一行政相对人不同事项进行检查，应当由本部门负责人协调，能够合并检查的合并检查。不同行政执法部门不得对同一行政相对人同一事项进行重复检查，同一事项的检查结论实行信息共享，做到一家检查，多家认可。</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（四）推行涉企行政检查陪同制度。</w:t>
      </w:r>
      <w:r>
        <w:rPr>
          <w:rFonts w:hint="default" w:ascii="宋体" w:hAnsi="宋体" w:eastAsia="仿宋_GB2312" w:cs="仿宋_GB2312"/>
          <w:color w:val="auto"/>
          <w:spacing w:val="0"/>
          <w:sz w:val="32"/>
          <w:szCs w:val="32"/>
          <w:lang w:val="en-US" w:eastAsia="zh-CN"/>
        </w:rPr>
        <w:t>结合区“服务企业大走访 我为企业解难题”活动方案，进一步压实处级领导、部门、属地“三级挂包”责任制，充分发挥挂点服务企业干部“底数清、情况明”的优势，全面推行陪同检查制度，促进和保障涉企行政检查精准、客观、高效，形成工作合力。各职能部门开展涉企行政检查时，无论是经日常书面报备的，还是因特殊情况经</w:t>
      </w:r>
      <w:r>
        <w:rPr>
          <w:rFonts w:hint="eastAsia" w:ascii="宋体" w:hAnsi="宋体" w:eastAsia="仿宋_GB2312" w:cs="仿宋_GB2312"/>
          <w:color w:val="auto"/>
          <w:spacing w:val="0"/>
          <w:sz w:val="32"/>
          <w:szCs w:val="32"/>
          <w:lang w:val="en-US" w:eastAsia="zh-CN"/>
        </w:rPr>
        <w:t>邮箱</w:t>
      </w:r>
      <w:r>
        <w:rPr>
          <w:rFonts w:hint="default" w:ascii="宋体" w:hAnsi="宋体" w:eastAsia="仿宋_GB2312" w:cs="仿宋_GB2312"/>
          <w:color w:val="auto"/>
          <w:spacing w:val="0"/>
          <w:sz w:val="32"/>
          <w:szCs w:val="32"/>
          <w:lang w:val="en-US" w:eastAsia="zh-CN"/>
        </w:rPr>
        <w:t>报备的涉企行政检查，由区营商办第一时间通知挂点服务企业干部全程陪同检查。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（五）加强对涉企行政检查的监督。</w:t>
      </w:r>
      <w:r>
        <w:rPr>
          <w:rFonts w:hint="default" w:ascii="宋体" w:hAnsi="宋体" w:eastAsia="仿宋_GB2312" w:cs="仿宋_GB2312"/>
          <w:color w:val="auto"/>
          <w:spacing w:val="0"/>
          <w:sz w:val="32"/>
          <w:szCs w:val="32"/>
          <w:lang w:val="en-US" w:eastAsia="zh-CN"/>
        </w:rPr>
        <w:t>区政府办、区营商办强化对开展涉企行政检查的监督，在合法合规的前提下，通过调阅走访记录、核查行政检查卷宗以及组织相关人员暗访等形式，定期掌握涉企行政检查频率、效果和企业诉求，并予以通报。同时，对应进行的涉企行政检查没有按规定进行的情况也将定期通报。区纪委监委紧盯涉企行政检查过程中可能存在的腐败和作风问题开展监督检查、明察暗访，推动营商环境持续优化。</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（六）畅通涉企行政检查投诉渠道。</w:t>
      </w:r>
      <w:r>
        <w:rPr>
          <w:rFonts w:hint="default" w:ascii="宋体" w:hAnsi="宋体" w:eastAsia="仿宋_GB2312" w:cs="仿宋_GB2312"/>
          <w:color w:val="auto"/>
          <w:spacing w:val="0"/>
          <w:sz w:val="32"/>
          <w:szCs w:val="32"/>
          <w:lang w:val="en-US" w:eastAsia="zh-CN"/>
        </w:rPr>
        <w:t>设立涉企行政检查投诉电话（0598-8220151），畅通企业投诉举报渠道，由企业对干扰其正常经营、损害其利益行为进行投诉，打通政企沟通“最后一公里”。对企业反映的问题，区营商办第一时间受理登记、核实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黑体" w:cs="黑体"/>
          <w:color w:val="auto"/>
          <w:spacing w:val="0"/>
          <w:sz w:val="32"/>
          <w:szCs w:val="32"/>
          <w:lang w:val="en-US" w:eastAsia="zh-CN"/>
        </w:rPr>
      </w:pPr>
      <w:r>
        <w:rPr>
          <w:rFonts w:hint="default" w:ascii="宋体" w:hAnsi="宋体" w:eastAsia="黑体" w:cs="黑体"/>
          <w:color w:val="auto"/>
          <w:spacing w:val="0"/>
          <w:sz w:val="32"/>
          <w:szCs w:val="32"/>
          <w:lang w:val="en-US" w:eastAsia="zh-CN"/>
        </w:rPr>
        <w:t>三、</w:t>
      </w:r>
      <w:r>
        <w:rPr>
          <w:rFonts w:hint="eastAsia" w:ascii="宋体" w:hAnsi="宋体" w:eastAsia="黑体" w:cs="黑体"/>
          <w:color w:val="auto"/>
          <w:spacing w:val="0"/>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FF0000"/>
          <w:spacing w:val="0"/>
          <w:sz w:val="32"/>
          <w:szCs w:val="32"/>
          <w:lang w:val="en-US" w:eastAsia="zh-CN"/>
        </w:rPr>
      </w:pPr>
      <w:r>
        <w:rPr>
          <w:rFonts w:hint="default" w:ascii="宋体" w:hAnsi="宋体" w:eastAsia="楷体_GB2312" w:cs="楷体_GB2312"/>
          <w:b/>
          <w:bCs/>
          <w:color w:val="auto"/>
          <w:spacing w:val="0"/>
          <w:sz w:val="32"/>
          <w:szCs w:val="32"/>
          <w:lang w:val="en-US" w:eastAsia="zh-CN"/>
        </w:rPr>
        <w:t>（一）强化宣传发动。</w:t>
      </w:r>
      <w:r>
        <w:rPr>
          <w:rFonts w:hint="default" w:ascii="宋体" w:hAnsi="宋体" w:eastAsia="仿宋_GB2312" w:cs="仿宋_GB2312"/>
          <w:color w:val="auto"/>
          <w:spacing w:val="0"/>
          <w:sz w:val="32"/>
          <w:szCs w:val="32"/>
          <w:lang w:val="en-US" w:eastAsia="zh-CN"/>
        </w:rPr>
        <w:t>工作机制正式印发后，要通过政府网站、微信公众号、微信工作群等方式向全区所有企业和具有行政检查职能的部门和单位进行宣</w:t>
      </w:r>
      <w:r>
        <w:rPr>
          <w:rFonts w:hint="default" w:ascii="宋体" w:hAnsi="宋体" w:eastAsia="仿宋_GB2312" w:cs="仿宋_GB2312"/>
          <w:color w:val="000000" w:themeColor="text1"/>
          <w:spacing w:val="0"/>
          <w:sz w:val="32"/>
          <w:szCs w:val="32"/>
          <w:lang w:val="en-US" w:eastAsia="zh-CN"/>
          <w14:textFill>
            <w14:solidFill>
              <w14:schemeClr w14:val="tx1"/>
            </w14:solidFill>
          </w14:textFill>
        </w:rPr>
        <w:t>传。</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（二）强化组织安排。</w:t>
      </w:r>
      <w:r>
        <w:rPr>
          <w:rFonts w:hint="default" w:ascii="宋体" w:hAnsi="宋体" w:eastAsia="仿宋_GB2312" w:cs="仿宋_GB2312"/>
          <w:color w:val="auto"/>
          <w:spacing w:val="0"/>
          <w:sz w:val="32"/>
          <w:szCs w:val="32"/>
          <w:lang w:val="en-US" w:eastAsia="zh-CN"/>
        </w:rPr>
        <w:t>区政府办、发改局、司法局等相关部门要根据工作要求认真组织实施，确保工作真正落地见效，提高工作效率和满意度。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仿宋_GB2312"/>
          <w:color w:val="auto"/>
          <w:spacing w:val="0"/>
          <w:sz w:val="32"/>
          <w:szCs w:val="32"/>
          <w:lang w:val="en-US" w:eastAsia="zh-CN"/>
        </w:rPr>
      </w:pPr>
      <w:r>
        <w:rPr>
          <w:rFonts w:hint="default" w:ascii="宋体" w:hAnsi="宋体" w:eastAsia="楷体_GB2312" w:cs="楷体_GB2312"/>
          <w:b/>
          <w:bCs/>
          <w:color w:val="auto"/>
          <w:spacing w:val="0"/>
          <w:sz w:val="32"/>
          <w:szCs w:val="32"/>
          <w:lang w:val="en-US" w:eastAsia="zh-CN"/>
        </w:rPr>
        <w:t>（三）强化督查问效。</w:t>
      </w:r>
      <w:r>
        <w:rPr>
          <w:rFonts w:hint="default" w:ascii="宋体" w:hAnsi="宋体" w:eastAsia="仿宋_GB2312" w:cs="仿宋_GB2312"/>
          <w:color w:val="auto"/>
          <w:spacing w:val="0"/>
          <w:sz w:val="32"/>
          <w:szCs w:val="32"/>
          <w:lang w:val="en-US" w:eastAsia="zh-CN"/>
        </w:rPr>
        <w:t>区营商办每季度将涉企行政检查备案情况报告区委、区政府，并作为对具有行政检查职能的部门和单位年度考核评价的重要依据。区纪委监委要对涉企行政检查</w:t>
      </w:r>
      <w:r>
        <w:rPr>
          <w:rFonts w:hint="eastAsia" w:ascii="宋体" w:hAnsi="宋体" w:eastAsia="仿宋_GB2312" w:cs="仿宋_GB2312"/>
          <w:color w:val="auto"/>
          <w:spacing w:val="0"/>
          <w:sz w:val="32"/>
          <w:szCs w:val="32"/>
          <w:lang w:val="en-US" w:eastAsia="zh-CN"/>
        </w:rPr>
        <w:t>“零打扰”工作</w:t>
      </w:r>
      <w:r>
        <w:rPr>
          <w:rFonts w:hint="default" w:ascii="宋体" w:hAnsi="宋体" w:eastAsia="仿宋_GB2312" w:cs="仿宋_GB2312"/>
          <w:color w:val="auto"/>
          <w:spacing w:val="0"/>
          <w:sz w:val="32"/>
          <w:szCs w:val="32"/>
          <w:lang w:val="en-US" w:eastAsia="zh-CN"/>
        </w:rPr>
        <w:t>落实情况进行不定期抽查，加强纪律监督。</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附件：涉企行政检查备案表（样表）</w:t>
      </w:r>
    </w:p>
    <w:p>
      <w:pPr>
        <w:rPr>
          <w:rFonts w:hint="eastAsia" w:ascii="仿宋_GB2312" w:hAnsi="Calibri" w:eastAsia="仿宋_GB2312" w:cs="Calibri"/>
          <w:color w:val="000000"/>
          <w:kern w:val="0"/>
          <w:sz w:val="32"/>
          <w:szCs w:val="32"/>
        </w:rPr>
      </w:pPr>
    </w:p>
    <w:p>
      <w:pPr>
        <w:pStyle w:val="2"/>
        <w:rPr>
          <w:rFonts w:hint="eastAsia"/>
        </w:rPr>
      </w:pPr>
    </w:p>
    <w:tbl>
      <w:tblPr>
        <w:tblStyle w:val="12"/>
        <w:tblpPr w:leftFromText="180" w:rightFromText="180" w:vertAnchor="page" w:horzAnchor="page" w:tblpX="1282" w:tblpY="765"/>
        <w:tblW w:w="5049" w:type="pct"/>
        <w:tblInd w:w="0" w:type="dxa"/>
        <w:tblLayout w:type="autofit"/>
        <w:tblCellMar>
          <w:top w:w="0" w:type="dxa"/>
          <w:left w:w="108" w:type="dxa"/>
          <w:bottom w:w="0" w:type="dxa"/>
          <w:right w:w="108" w:type="dxa"/>
        </w:tblCellMar>
      </w:tblPr>
      <w:tblGrid>
        <w:gridCol w:w="975"/>
        <w:gridCol w:w="3617"/>
        <w:gridCol w:w="865"/>
        <w:gridCol w:w="3922"/>
      </w:tblGrid>
      <w:tr>
        <w:tblPrEx>
          <w:tblCellMar>
            <w:top w:w="0" w:type="dxa"/>
            <w:left w:w="108" w:type="dxa"/>
            <w:bottom w:w="0" w:type="dxa"/>
            <w:right w:w="108" w:type="dxa"/>
          </w:tblCellMar>
        </w:tblPrEx>
        <w:trPr>
          <w:trHeight w:val="2197" w:hRule="atLeast"/>
        </w:trPr>
        <w:tc>
          <w:tcPr>
            <w:tcW w:w="5000" w:type="pct"/>
            <w:gridSpan w:val="4"/>
            <w:tcBorders>
              <w:top w:val="nil"/>
              <w:left w:val="nil"/>
              <w:bottom w:val="nil"/>
              <w:right w:val="nil"/>
            </w:tcBorders>
            <w:shd w:val="clear" w:color="auto" w:fill="auto"/>
            <w:noWrap/>
            <w:vAlign w:val="center"/>
          </w:tcPr>
          <w:p>
            <w:pPr>
              <w:widowControl/>
              <w:jc w:val="left"/>
              <w:rPr>
                <w:rFonts w:ascii="方正小标宋简体" w:hAnsi="宋体" w:eastAsia="方正小标宋简体" w:cs="宋体"/>
                <w:color w:val="000000"/>
                <w:kern w:val="0"/>
                <w:sz w:val="28"/>
                <w:szCs w:val="28"/>
              </w:rPr>
            </w:pPr>
          </w:p>
          <w:p>
            <w:pPr>
              <w:widowControl/>
              <w:jc w:val="left"/>
              <w:rPr>
                <w:rFonts w:ascii="方正小标宋简体" w:hAnsi="宋体" w:eastAsia="方正小标宋简体" w:cs="宋体"/>
                <w:color w:val="000000"/>
                <w:kern w:val="0"/>
                <w:sz w:val="28"/>
                <w:szCs w:val="28"/>
              </w:rPr>
            </w:pPr>
            <w:r>
              <w:rPr>
                <w:rFonts w:hint="eastAsia" w:ascii="黑体" w:hAnsi="黑体" w:eastAsia="黑体" w:cs="黑体"/>
                <w:color w:val="000000"/>
                <w:kern w:val="0"/>
                <w:sz w:val="28"/>
                <w:szCs w:val="28"/>
              </w:rPr>
              <w:t>附件</w:t>
            </w: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涉企行政检查备案表（样表）</w:t>
            </w:r>
          </w:p>
        </w:tc>
      </w:tr>
      <w:tr>
        <w:tblPrEx>
          <w:tblCellMar>
            <w:top w:w="0" w:type="dxa"/>
            <w:left w:w="108" w:type="dxa"/>
            <w:bottom w:w="0" w:type="dxa"/>
            <w:right w:w="108" w:type="dxa"/>
          </w:tblCellMar>
        </w:tblPrEx>
        <w:trPr>
          <w:trHeight w:val="739" w:hRule="atLeast"/>
        </w:trPr>
        <w:tc>
          <w:tcPr>
            <w:tcW w:w="5000" w:type="pct"/>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备案时间：   年   月   日   时</w:t>
            </w:r>
          </w:p>
        </w:tc>
      </w:tr>
      <w:tr>
        <w:tblPrEx>
          <w:tblCellMar>
            <w:top w:w="0" w:type="dxa"/>
            <w:left w:w="108" w:type="dxa"/>
            <w:bottom w:w="0" w:type="dxa"/>
            <w:right w:w="108" w:type="dxa"/>
          </w:tblCellMar>
        </w:tblPrEx>
        <w:trPr>
          <w:trHeight w:val="1579" w:hRule="atLeast"/>
        </w:trPr>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检查单位   </w:t>
            </w:r>
            <w:r>
              <w:rPr>
                <w:rFonts w:hint="eastAsia" w:ascii="宋体" w:hAnsi="宋体" w:eastAsia="宋体" w:cs="宋体"/>
                <w:color w:val="000000"/>
                <w:kern w:val="0"/>
                <w:szCs w:val="21"/>
              </w:rPr>
              <w:t>（盖章）</w:t>
            </w:r>
          </w:p>
        </w:tc>
        <w:tc>
          <w:tcPr>
            <w:tcW w:w="447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265" w:hRule="atLeast"/>
        </w:trPr>
        <w:tc>
          <w:tcPr>
            <w:tcW w:w="52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检查人员</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检查时间</w:t>
            </w:r>
          </w:p>
        </w:tc>
        <w:tc>
          <w:tcPr>
            <w:tcW w:w="20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316" w:hRule="atLeast"/>
        </w:trPr>
        <w:tc>
          <w:tcPr>
            <w:tcW w:w="52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检查对象</w:t>
            </w:r>
          </w:p>
        </w:tc>
        <w:tc>
          <w:tcPr>
            <w:tcW w:w="192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企业地址</w:t>
            </w:r>
          </w:p>
        </w:tc>
        <w:tc>
          <w:tcPr>
            <w:tcW w:w="20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5801" w:hRule="atLeast"/>
        </w:trPr>
        <w:tc>
          <w:tcPr>
            <w:tcW w:w="52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检查内容、依据</w:t>
            </w:r>
          </w:p>
        </w:tc>
        <w:tc>
          <w:tcPr>
            <w:tcW w:w="447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729" w:hRule="atLeast"/>
        </w:trPr>
        <w:tc>
          <w:tcPr>
            <w:tcW w:w="52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c>
          <w:tcPr>
            <w:tcW w:w="447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pPr>
        <w:spacing w:line="560" w:lineRule="exact"/>
        <w:jc w:val="left"/>
        <w:rPr>
          <w:rFonts w:ascii="仿宋_GB2312" w:hAnsi="Calibri" w:eastAsia="仿宋_GB2312" w:cs="Calibri"/>
          <w:color w:val="000000"/>
          <w:kern w:val="0"/>
          <w:sz w:val="32"/>
          <w:szCs w:val="32"/>
        </w:rPr>
      </w:pPr>
    </w:p>
    <w:p>
      <w:pPr>
        <w:pStyle w:val="2"/>
        <w:rPr>
          <w:rFonts w:hint="eastAsia"/>
          <w:lang w:eastAsia="zh-CN"/>
        </w:rPr>
      </w:pPr>
    </w:p>
    <w:sectPr>
      <w:footerReference r:id="rId4" w:type="default"/>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60" w:lineRule="exact"/>
      <w:jc w:val="left"/>
      <w:rPr>
        <w:rFonts w:ascii="Arial Narrow" w:hAnsi="Arial Narrow" w:eastAsia="仿宋_GB2312" w:cs="Times New Roman"/>
        <w:kern w:val="2"/>
        <w:sz w:val="18"/>
        <w:szCs w:val="24"/>
        <w:lang w:val="en-US" w:eastAsia="zh-CN" w:bidi="ar-SA"/>
      </w:rPr>
    </w:pPr>
    <w:r>
      <w:rPr>
        <w:rFonts w:ascii="Arial Narrow" w:hAnsi="Arial Narrow" w:eastAsia="仿宋_GB2312" w:cs="Times New Roman"/>
        <w:kern w:val="2"/>
        <w:sz w:val="18"/>
        <w:szCs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tabs>
                              <w:tab w:val="center" w:pos="4153"/>
                              <w:tab w:val="right" w:pos="8306"/>
                            </w:tabs>
                            <w:snapToGrid w:val="0"/>
                            <w:spacing w:line="56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gav9gM8BAACbAwAADgAAAAAAAAABACAAAAAfAQAAZHJz&#10;L2Uyb0RvYy54bWxQSwUGAAAAAAYABgBZAQAAYAUAAAAA&#10;">
              <v:fill on="f" focussize="0,0"/>
              <v:stroke on="f"/>
              <v:imagedata o:title=""/>
              <o:lock v:ext="edit" aspectratio="f"/>
              <v:textbox inset="0mm,0mm,0mm,0mm" style="mso-fit-shape-to-text:t;">
                <w:txbxContent>
                  <w:p>
                    <w:pPr>
                      <w:widowControl w:val="0"/>
                      <w:tabs>
                        <w:tab w:val="center" w:pos="4153"/>
                        <w:tab w:val="right" w:pos="8306"/>
                      </w:tabs>
                      <w:snapToGrid w:val="0"/>
                      <w:spacing w:line="56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3438C"/>
    <w:multiLevelType w:val="singleLevel"/>
    <w:tmpl w:val="E09343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NDVmMDhlODEzOGNjMTYwOGMzMzQ3YTI1MWUyZjQifQ=="/>
    <w:docVar w:name="KSO_WPS_MARK_KEY" w:val="a0db8412-da33-41e9-b9d8-11f8b9c89ad5"/>
  </w:docVars>
  <w:rsids>
    <w:rsidRoot w:val="69B93BA5"/>
    <w:rsid w:val="001F1D2C"/>
    <w:rsid w:val="01852063"/>
    <w:rsid w:val="01AE3B36"/>
    <w:rsid w:val="01EC20E2"/>
    <w:rsid w:val="02443BB5"/>
    <w:rsid w:val="03084CFA"/>
    <w:rsid w:val="04AE6573"/>
    <w:rsid w:val="052676B9"/>
    <w:rsid w:val="061F2A86"/>
    <w:rsid w:val="082500FC"/>
    <w:rsid w:val="086C1887"/>
    <w:rsid w:val="094D2C05"/>
    <w:rsid w:val="0A2B1813"/>
    <w:rsid w:val="0ABD0ABF"/>
    <w:rsid w:val="0B2D3945"/>
    <w:rsid w:val="0B6723E8"/>
    <w:rsid w:val="0BD5582F"/>
    <w:rsid w:val="0C3A6C62"/>
    <w:rsid w:val="0C5C138A"/>
    <w:rsid w:val="0CA67E39"/>
    <w:rsid w:val="0CC51EAD"/>
    <w:rsid w:val="0CE340E1"/>
    <w:rsid w:val="0D197B03"/>
    <w:rsid w:val="0D53748D"/>
    <w:rsid w:val="0DCE08EE"/>
    <w:rsid w:val="0DEB14A0"/>
    <w:rsid w:val="0F2743A8"/>
    <w:rsid w:val="0F7D6A6F"/>
    <w:rsid w:val="0FF2747D"/>
    <w:rsid w:val="10DB74EC"/>
    <w:rsid w:val="11785740"/>
    <w:rsid w:val="11D02E86"/>
    <w:rsid w:val="120668A8"/>
    <w:rsid w:val="13B86493"/>
    <w:rsid w:val="1574746F"/>
    <w:rsid w:val="15D05B4B"/>
    <w:rsid w:val="17033CFE"/>
    <w:rsid w:val="17495486"/>
    <w:rsid w:val="18057210"/>
    <w:rsid w:val="1829127E"/>
    <w:rsid w:val="195D76A0"/>
    <w:rsid w:val="1B3413A3"/>
    <w:rsid w:val="1BF63E31"/>
    <w:rsid w:val="1C6C075C"/>
    <w:rsid w:val="1C9176B6"/>
    <w:rsid w:val="1C960AA0"/>
    <w:rsid w:val="1CE9459B"/>
    <w:rsid w:val="1D2757BA"/>
    <w:rsid w:val="1F0F7DEE"/>
    <w:rsid w:val="1FF92ECF"/>
    <w:rsid w:val="202F278A"/>
    <w:rsid w:val="2149055F"/>
    <w:rsid w:val="21725589"/>
    <w:rsid w:val="218B501C"/>
    <w:rsid w:val="219226BE"/>
    <w:rsid w:val="21F941A1"/>
    <w:rsid w:val="25302162"/>
    <w:rsid w:val="25E960A1"/>
    <w:rsid w:val="2809701D"/>
    <w:rsid w:val="29087613"/>
    <w:rsid w:val="2A127E59"/>
    <w:rsid w:val="2B855133"/>
    <w:rsid w:val="2D510EC7"/>
    <w:rsid w:val="2ED0406E"/>
    <w:rsid w:val="2F36675B"/>
    <w:rsid w:val="2F601896"/>
    <w:rsid w:val="2FB65E0D"/>
    <w:rsid w:val="313B60AF"/>
    <w:rsid w:val="32096215"/>
    <w:rsid w:val="320C0415"/>
    <w:rsid w:val="3212304A"/>
    <w:rsid w:val="321B1738"/>
    <w:rsid w:val="324C0DDF"/>
    <w:rsid w:val="32957E3C"/>
    <w:rsid w:val="33030EB6"/>
    <w:rsid w:val="33E23668"/>
    <w:rsid w:val="342A00B4"/>
    <w:rsid w:val="346E6803"/>
    <w:rsid w:val="348F7C0E"/>
    <w:rsid w:val="35437A15"/>
    <w:rsid w:val="35831E3A"/>
    <w:rsid w:val="359D5C44"/>
    <w:rsid w:val="370928D1"/>
    <w:rsid w:val="37BE5029"/>
    <w:rsid w:val="382316B2"/>
    <w:rsid w:val="38826ABE"/>
    <w:rsid w:val="389D5EC0"/>
    <w:rsid w:val="38BA63FF"/>
    <w:rsid w:val="39D569DC"/>
    <w:rsid w:val="39F94DC1"/>
    <w:rsid w:val="3A3E6C77"/>
    <w:rsid w:val="3AA50AA5"/>
    <w:rsid w:val="3AD13648"/>
    <w:rsid w:val="3AD51334"/>
    <w:rsid w:val="3C033258"/>
    <w:rsid w:val="3C28373B"/>
    <w:rsid w:val="3C812E4B"/>
    <w:rsid w:val="3CD96277"/>
    <w:rsid w:val="3D4D4F0A"/>
    <w:rsid w:val="3DFC1333"/>
    <w:rsid w:val="3EA64DEB"/>
    <w:rsid w:val="3F7F6E4C"/>
    <w:rsid w:val="3F942698"/>
    <w:rsid w:val="401A339B"/>
    <w:rsid w:val="414C1C7A"/>
    <w:rsid w:val="42997141"/>
    <w:rsid w:val="43181FD4"/>
    <w:rsid w:val="43C71A8C"/>
    <w:rsid w:val="43CC0E50"/>
    <w:rsid w:val="445C6678"/>
    <w:rsid w:val="448B20E6"/>
    <w:rsid w:val="470152B5"/>
    <w:rsid w:val="47AC0894"/>
    <w:rsid w:val="47E95A69"/>
    <w:rsid w:val="484C255F"/>
    <w:rsid w:val="49105C83"/>
    <w:rsid w:val="4A9F427C"/>
    <w:rsid w:val="4AAE12AF"/>
    <w:rsid w:val="4B0852C3"/>
    <w:rsid w:val="4B5343FE"/>
    <w:rsid w:val="4CBB5F06"/>
    <w:rsid w:val="4D090A1F"/>
    <w:rsid w:val="4D231FF5"/>
    <w:rsid w:val="4D616AAD"/>
    <w:rsid w:val="4D8A376A"/>
    <w:rsid w:val="4E884812"/>
    <w:rsid w:val="4E9307BC"/>
    <w:rsid w:val="4F1A1B6C"/>
    <w:rsid w:val="4F8D01CC"/>
    <w:rsid w:val="4F9D5D96"/>
    <w:rsid w:val="50D979B9"/>
    <w:rsid w:val="52E57838"/>
    <w:rsid w:val="53530C46"/>
    <w:rsid w:val="54FA3343"/>
    <w:rsid w:val="558003F1"/>
    <w:rsid w:val="560F191D"/>
    <w:rsid w:val="56C132EE"/>
    <w:rsid w:val="56EC2DF6"/>
    <w:rsid w:val="57C932A4"/>
    <w:rsid w:val="586C6914"/>
    <w:rsid w:val="59CD1026"/>
    <w:rsid w:val="5A897643"/>
    <w:rsid w:val="5AD563E4"/>
    <w:rsid w:val="5BA6536C"/>
    <w:rsid w:val="5C6D2710"/>
    <w:rsid w:val="5CBA1D36"/>
    <w:rsid w:val="5CBF2B05"/>
    <w:rsid w:val="5DC92468"/>
    <w:rsid w:val="5DEF1649"/>
    <w:rsid w:val="5E6D1C19"/>
    <w:rsid w:val="5EB86749"/>
    <w:rsid w:val="5F4955F3"/>
    <w:rsid w:val="5FB86C0F"/>
    <w:rsid w:val="5FEB0458"/>
    <w:rsid w:val="608B494E"/>
    <w:rsid w:val="60FC3403"/>
    <w:rsid w:val="61181721"/>
    <w:rsid w:val="61F3244D"/>
    <w:rsid w:val="621F52CE"/>
    <w:rsid w:val="623A78EC"/>
    <w:rsid w:val="62D13935"/>
    <w:rsid w:val="630A5099"/>
    <w:rsid w:val="63E853DA"/>
    <w:rsid w:val="646F3406"/>
    <w:rsid w:val="649E1DCA"/>
    <w:rsid w:val="65CA501B"/>
    <w:rsid w:val="661179E3"/>
    <w:rsid w:val="66337169"/>
    <w:rsid w:val="66AF2C8A"/>
    <w:rsid w:val="673426E5"/>
    <w:rsid w:val="68394457"/>
    <w:rsid w:val="698C05B6"/>
    <w:rsid w:val="69B93BA5"/>
    <w:rsid w:val="69FD7706"/>
    <w:rsid w:val="6A1F58CE"/>
    <w:rsid w:val="6A3C1FDC"/>
    <w:rsid w:val="6C2B7950"/>
    <w:rsid w:val="6C474C68"/>
    <w:rsid w:val="6CA16A6E"/>
    <w:rsid w:val="6D061F4C"/>
    <w:rsid w:val="6E795873"/>
    <w:rsid w:val="6E960FD9"/>
    <w:rsid w:val="6EF20214"/>
    <w:rsid w:val="70DE203F"/>
    <w:rsid w:val="720D24B0"/>
    <w:rsid w:val="72564767"/>
    <w:rsid w:val="72613B79"/>
    <w:rsid w:val="72961B91"/>
    <w:rsid w:val="72ED4DD1"/>
    <w:rsid w:val="731D3F85"/>
    <w:rsid w:val="73BF74C5"/>
    <w:rsid w:val="7579353B"/>
    <w:rsid w:val="757A4038"/>
    <w:rsid w:val="758052ED"/>
    <w:rsid w:val="75984F14"/>
    <w:rsid w:val="75B94E29"/>
    <w:rsid w:val="760C3798"/>
    <w:rsid w:val="76775236"/>
    <w:rsid w:val="76AB285F"/>
    <w:rsid w:val="77F83274"/>
    <w:rsid w:val="79E82BC1"/>
    <w:rsid w:val="7A3727C0"/>
    <w:rsid w:val="7AA03EC1"/>
    <w:rsid w:val="7B583E0A"/>
    <w:rsid w:val="7B746480"/>
    <w:rsid w:val="7BFF3AED"/>
    <w:rsid w:val="7C271609"/>
    <w:rsid w:val="7CA67789"/>
    <w:rsid w:val="7CC2504E"/>
    <w:rsid w:val="7D6A55A3"/>
    <w:rsid w:val="7F080287"/>
    <w:rsid w:val="7F7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9"/>
    <w:pPr>
      <w:keepNext/>
      <w:keepLines/>
      <w:spacing w:line="576" w:lineRule="auto"/>
      <w:outlineLvl w:val="0"/>
    </w:pPr>
    <w:rPr>
      <w:rFonts w:eastAsia="宋体"/>
      <w:b/>
      <w:kern w:val="44"/>
      <w:sz w:val="44"/>
      <w:szCs w:val="20"/>
    </w:rPr>
  </w:style>
  <w:style w:type="paragraph" w:styleId="5">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rPr>
  </w:style>
  <w:style w:type="paragraph" w:styleId="3">
    <w:name w:val="index 5"/>
    <w:basedOn w:val="1"/>
    <w:next w:val="1"/>
    <w:semiHidden/>
    <w:qFormat/>
    <w:uiPriority w:val="99"/>
    <w:pPr>
      <w:ind w:left="1680"/>
    </w:pPr>
  </w:style>
  <w:style w:type="paragraph" w:styleId="6">
    <w:name w:val="Normal Indent"/>
    <w:basedOn w:val="1"/>
    <w:qFormat/>
    <w:uiPriority w:val="99"/>
    <w:pPr>
      <w:ind w:firstLine="420" w:firstLineChars="200"/>
    </w:pPr>
    <w:rPr>
      <w:rFonts w:ascii="Calibri" w:hAnsi="Calibri" w:cs="黑体"/>
    </w:rPr>
  </w:style>
  <w:style w:type="paragraph" w:styleId="7">
    <w:name w:val="Body Text"/>
    <w:basedOn w:val="1"/>
    <w:next w:val="8"/>
    <w:qFormat/>
    <w:uiPriority w:val="99"/>
    <w:pPr>
      <w:spacing w:after="120" w:afterLines="0"/>
    </w:pPr>
  </w:style>
  <w:style w:type="paragraph" w:styleId="8">
    <w:name w:val="Body Text First Indent"/>
    <w:basedOn w:val="7"/>
    <w:qFormat/>
    <w:uiPriority w:val="99"/>
    <w:pPr>
      <w:ind w:firstLine="420" w:firstLineChars="1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
    <w:name w:val="UserStyle_0"/>
    <w:basedOn w:val="1"/>
    <w:qFormat/>
    <w:uiPriority w:val="0"/>
    <w:pPr>
      <w:spacing w:after="120"/>
      <w:ind w:left="200" w:leftChars="200" w:firstLine="420" w:firstLineChars="200"/>
      <w:textAlignment w:val="baseline"/>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2799</Words>
  <Characters>2833</Characters>
  <Lines>0</Lines>
  <Paragraphs>0</Paragraphs>
  <TotalTime>439</TotalTime>
  <ScaleCrop>false</ScaleCrop>
  <LinksUpToDate>false</LinksUpToDate>
  <CharactersWithSpaces>2856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2021-11-29T00:55:00Z</dcterms:created>
  <dc:creator>Vicky.</dc:creator>
  <cp:lastModifiedBy>Administrator</cp:lastModifiedBy>
  <cp:lastPrinted>2023-04-20T06:19:00Z</cp:lastPrinted>
  <dcterms:modified xsi:type="dcterms:W3CDTF">2023-04-23T08:36:08Z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5D3699CFC4D24958863E61A331D96F13_13</vt:lpwstr>
  </property>
</Properties>
</file>