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olor w:val="auto"/>
          <w:sz w:val="44"/>
          <w:szCs w:val="44"/>
          <w:highlight w:val="none"/>
        </w:rPr>
      </w:pPr>
    </w:p>
    <w:p>
      <w:pPr>
        <w:jc w:val="center"/>
        <w:rPr>
          <w:rFonts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三元区关于进一步深化“放管服”改革优化营商环境的指导意见（征求意见稿）</w:t>
      </w:r>
    </w:p>
    <w:p>
      <w:pPr>
        <w:rPr>
          <w:color w:val="auto"/>
          <w:highlight w:val="none"/>
        </w:rPr>
      </w:pPr>
    </w:p>
    <w:p>
      <w:pPr>
        <w:rPr>
          <w:rFonts w:ascii="仿宋_GB2312" w:eastAsia="仿宋_GB2312"/>
          <w:color w:val="auto"/>
          <w:highlight w:val="none"/>
        </w:rPr>
      </w:pPr>
    </w:p>
    <w:p>
      <w:pPr>
        <w:rPr>
          <w:rFonts w:ascii="仿宋_GB2312" w:hAnsi="Calibri" w:eastAsia="仿宋_GB2312" w:cs="Calibri"/>
          <w:color w:val="auto"/>
          <w:kern w:val="0"/>
          <w:sz w:val="32"/>
          <w:szCs w:val="32"/>
          <w:highlight w:val="none"/>
        </w:rPr>
      </w:pPr>
      <w:r>
        <w:rPr>
          <w:rFonts w:hint="eastAsia" w:ascii="仿宋_GB2312" w:hAnsi="Calibri" w:eastAsia="仿宋_GB2312" w:cs="Calibri"/>
          <w:color w:val="auto"/>
          <w:kern w:val="0"/>
          <w:sz w:val="32"/>
          <w:szCs w:val="32"/>
          <w:highlight w:val="none"/>
        </w:rPr>
        <w:t>各乡镇（街道）、区级各部门：</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为认真贯彻党的二十大精神，深入实施“深学争优、敢为争先、实干争效”行动，进一步打造政府有为、企业有利、群众有感的优质营商环境，有力落实</w:t>
      </w:r>
      <w:r>
        <w:rPr>
          <w:rFonts w:hint="eastAsia" w:ascii="仿宋_GB2312" w:hAnsi="仿宋_GB2312" w:eastAsia="仿宋_GB2312" w:cs="仿宋_GB2312"/>
          <w:color w:val="auto"/>
          <w:kern w:val="0"/>
          <w:sz w:val="32"/>
          <w:szCs w:val="32"/>
          <w:highlight w:val="none"/>
        </w:rPr>
        <w:t>“抓重大项目，促高质量发展”和 “1620”行动重要部署，</w:t>
      </w:r>
      <w:r>
        <w:rPr>
          <w:rFonts w:hint="eastAsia" w:ascii="仿宋_GB2312" w:eastAsia="仿宋_GB2312"/>
          <w:color w:val="auto"/>
          <w:sz w:val="32"/>
          <w:szCs w:val="32"/>
          <w:highlight w:val="none"/>
        </w:rPr>
        <w:t>激励市场主体增产增效，加快推动革命老区高质量发展先行示范区建设。结合我区实际，制定本意见。</w:t>
      </w:r>
    </w:p>
    <w:p>
      <w:pPr>
        <w:ind w:firstLine="643" w:firstLineChars="200"/>
        <w:rPr>
          <w:rFonts w:ascii="仿宋_GB2312" w:hAnsi="宋体" w:eastAsia="仿宋_GB2312" w:cs="仿宋_GB2312"/>
          <w:b/>
          <w:color w:val="auto"/>
          <w:sz w:val="32"/>
          <w:szCs w:val="32"/>
          <w:highlight w:val="none"/>
        </w:rPr>
      </w:pPr>
      <w:r>
        <w:rPr>
          <w:rFonts w:hint="eastAsia" w:ascii="仿宋_GB2312" w:hAnsi="宋体" w:eastAsia="仿宋_GB2312" w:cs="仿宋_GB2312"/>
          <w:b/>
          <w:color w:val="auto"/>
          <w:sz w:val="32"/>
          <w:szCs w:val="32"/>
          <w:highlight w:val="none"/>
        </w:rPr>
        <w:t>一、工作目标</w:t>
      </w:r>
    </w:p>
    <w:p>
      <w:pPr>
        <w:ind w:firstLine="640" w:firstLineChars="200"/>
        <w:rPr>
          <w:rFonts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进一步提高简政放权质量，提升监管体系效率，优化政</w:t>
      </w:r>
      <w:r>
        <w:rPr>
          <w:rFonts w:hint="eastAsia" w:ascii="仿宋_GB2312" w:hAnsi="宋体" w:eastAsia="仿宋_GB2312" w:cs="仿宋_GB2312"/>
          <w:color w:val="auto"/>
          <w:sz w:val="32"/>
          <w:szCs w:val="32"/>
          <w:highlight w:val="none"/>
        </w:rPr>
        <w:t>务服务质量，更加高效地优化营商环境。聚焦群众反映强烈的办事难、办事慢、办事繁问题，持续改进服务内容、完善服务方式、提升服务水平。全力打造能办事、快办事、办成事的“便利三元”。</w:t>
      </w:r>
    </w:p>
    <w:p>
      <w:pPr>
        <w:ind w:firstLine="643" w:firstLineChars="200"/>
        <w:rPr>
          <w:rFonts w:ascii="仿宋_GB2312" w:hAnsi="宋体" w:eastAsia="仿宋_GB2312" w:cs="仿宋_GB2312"/>
          <w:b/>
          <w:color w:val="auto"/>
          <w:sz w:val="32"/>
          <w:szCs w:val="32"/>
          <w:highlight w:val="none"/>
        </w:rPr>
      </w:pPr>
      <w:r>
        <w:rPr>
          <w:rFonts w:hint="eastAsia" w:ascii="仿宋_GB2312" w:hAnsi="宋体" w:eastAsia="仿宋_GB2312" w:cs="仿宋_GB2312"/>
          <w:b/>
          <w:color w:val="auto"/>
          <w:sz w:val="32"/>
          <w:szCs w:val="32"/>
          <w:highlight w:val="none"/>
        </w:rPr>
        <w:t>二、具体措施</w:t>
      </w:r>
    </w:p>
    <w:p>
      <w:pPr>
        <w:ind w:firstLine="643" w:firstLineChars="200"/>
        <w:rPr>
          <w:rFonts w:ascii="仿宋_GB2312" w:hAnsi="Times New Roman" w:eastAsia="仿宋_GB2312" w:cs="仿宋_GB2312"/>
          <w:color w:val="auto"/>
          <w:sz w:val="32"/>
          <w:szCs w:val="32"/>
          <w:highlight w:val="none"/>
        </w:rPr>
      </w:pPr>
      <w:r>
        <w:rPr>
          <w:rFonts w:hint="eastAsia" w:ascii="仿宋_GB2312" w:hAnsi="Times New Roman" w:eastAsia="仿宋_GB2312" w:cs="仿宋_GB2312"/>
          <w:b/>
          <w:color w:val="auto"/>
          <w:sz w:val="32"/>
          <w:szCs w:val="32"/>
          <w:highlight w:val="none"/>
        </w:rPr>
        <w:t>（一）落实负面清单制度。</w:t>
      </w:r>
      <w:r>
        <w:rPr>
          <w:rFonts w:hint="eastAsia" w:ascii="仿宋_GB2312" w:hAnsi="Times New Roman" w:eastAsia="仿宋_GB2312" w:cs="仿宋_GB2312"/>
          <w:color w:val="auto"/>
          <w:sz w:val="32"/>
          <w:szCs w:val="32"/>
          <w:highlight w:val="none"/>
        </w:rPr>
        <w:t>严格落实《市场准入负面清单（2022年版）》，确保清单之外的行业、领域、业务等，各类市场主体皆可依法平等进入，不得违规另设市场准入行政审批，</w:t>
      </w:r>
      <w:r>
        <w:rPr>
          <w:rFonts w:hint="eastAsia" w:ascii="仿宋_GB2312" w:hAnsi="Times New Roman" w:eastAsia="仿宋_GB2312" w:cs="仿宋_GB2312"/>
          <w:color w:val="auto"/>
          <w:sz w:val="32"/>
          <w:szCs w:val="32"/>
          <w:highlight w:val="none"/>
        </w:rPr>
        <w:t>让市场法无禁止即可为</w:t>
      </w:r>
      <w:r>
        <w:rPr>
          <w:rFonts w:hint="eastAsia" w:ascii="仿宋_GB2312" w:hAnsi="Times New Roman" w:eastAsia="仿宋_GB2312" w:cs="仿宋_GB2312"/>
          <w:color w:val="auto"/>
          <w:sz w:val="32"/>
          <w:szCs w:val="32"/>
          <w:highlight w:val="none"/>
        </w:rPr>
        <w:t>。</w:t>
      </w:r>
    </w:p>
    <w:p>
      <w:pPr>
        <w:ind w:firstLine="643" w:firstLineChars="200"/>
        <w:rPr>
          <w:rFonts w:ascii="仿宋_GB2312" w:hAnsi="Times New Roman" w:eastAsia="仿宋_GB2312" w:cs="仿宋_GB2312"/>
          <w:color w:val="auto"/>
          <w:sz w:val="32"/>
          <w:szCs w:val="32"/>
          <w:highlight w:val="none"/>
        </w:rPr>
      </w:pPr>
      <w:r>
        <w:rPr>
          <w:rFonts w:hint="eastAsia" w:ascii="仿宋_GB2312" w:hAnsi="Times New Roman" w:eastAsia="仿宋_GB2312" w:cs="仿宋_GB2312"/>
          <w:b/>
          <w:color w:val="auto"/>
          <w:sz w:val="32"/>
          <w:szCs w:val="32"/>
          <w:highlight w:val="none"/>
        </w:rPr>
        <w:t>（二）提升“一网通办”覆盖面</w:t>
      </w:r>
      <w:r>
        <w:rPr>
          <w:rFonts w:hint="eastAsia" w:ascii="仿宋_GB2312" w:hAnsi="Times New Roman" w:eastAsia="仿宋_GB2312" w:cs="仿宋_GB2312"/>
          <w:color w:val="auto"/>
          <w:sz w:val="32"/>
          <w:szCs w:val="32"/>
          <w:highlight w:val="none"/>
        </w:rPr>
        <w:t>。</w:t>
      </w:r>
      <w:r>
        <w:rPr>
          <w:rFonts w:hint="eastAsia" w:ascii="仿宋_GB2312" w:eastAsia="仿宋_GB2312"/>
          <w:color w:val="auto"/>
          <w:sz w:val="32"/>
          <w:szCs w:val="32"/>
          <w:highlight w:val="none"/>
        </w:rPr>
        <w:t>部门审批服务事项的网上操作、电子印章使用、流程优化、材料精简、时限压缩、环节设置、规范授权等全部达到标准化、规范化、便利化要求。加大办事环节精简和流程优化，</w:t>
      </w:r>
      <w:r>
        <w:rPr>
          <w:rFonts w:hint="eastAsia" w:ascii="仿宋_GB2312" w:eastAsia="仿宋_GB2312"/>
          <w:color w:val="auto"/>
          <w:sz w:val="32"/>
          <w:szCs w:val="32"/>
          <w:highlight w:val="none"/>
        </w:rPr>
        <w:t>不断</w:t>
      </w:r>
      <w:r>
        <w:rPr>
          <w:rFonts w:hint="eastAsia" w:ascii="仿宋_GB2312" w:eastAsia="仿宋_GB2312"/>
          <w:color w:val="auto"/>
          <w:sz w:val="32"/>
          <w:szCs w:val="32"/>
          <w:highlight w:val="none"/>
        </w:rPr>
        <w:t>提升政务服务事项网上办理深度，</w:t>
      </w:r>
      <w:r>
        <w:rPr>
          <w:rFonts w:hint="eastAsia" w:ascii="仿宋_GB2312" w:eastAsia="仿宋_GB2312"/>
          <w:color w:val="auto"/>
          <w:sz w:val="32"/>
          <w:szCs w:val="32"/>
          <w:highlight w:val="none"/>
        </w:rPr>
        <w:t>推动更多适合网上办理的政务服务事项全程网办。</w:t>
      </w:r>
    </w:p>
    <w:p>
      <w:pPr>
        <w:ind w:firstLine="643" w:firstLineChars="200"/>
        <w:rPr>
          <w:rFonts w:ascii="仿宋_GB2312" w:hAnsi="Times New Roman" w:eastAsia="仿宋_GB2312" w:cs="仿宋_GB2312"/>
          <w:color w:val="auto"/>
          <w:sz w:val="32"/>
          <w:szCs w:val="32"/>
          <w:highlight w:val="none"/>
        </w:rPr>
      </w:pPr>
      <w:r>
        <w:rPr>
          <w:rFonts w:hint="eastAsia" w:ascii="仿宋_GB2312" w:hAnsi="Times New Roman" w:eastAsia="仿宋_GB2312" w:cs="仿宋_GB2312"/>
          <w:b/>
          <w:color w:val="auto"/>
          <w:sz w:val="32"/>
          <w:szCs w:val="32"/>
          <w:highlight w:val="none"/>
        </w:rPr>
        <w:t>（三）推行市区一体化“一窗通办”改革。</w:t>
      </w:r>
      <w:r>
        <w:rPr>
          <w:rFonts w:hint="eastAsia" w:ascii="仿宋_GB2312" w:hAnsi="仿宋" w:eastAsia="仿宋_GB2312" w:cs="仿宋"/>
          <w:snapToGrid w:val="0"/>
          <w:color w:val="auto"/>
          <w:spacing w:val="-10"/>
          <w:kern w:val="0"/>
          <w:sz w:val="32"/>
          <w:szCs w:val="32"/>
          <w:highlight w:val="none"/>
        </w:rPr>
        <w:t>打破原先按照行政层级划分市区两级审批的原则，将业务和窗口进行整合，建设市区合一的综合窗口，做到“一窗受理、集成服务”，群众不必了解所办事项归属市级还是区级，市区范围内真正实现“一窗”办理。实现综合窗口内部直接流转，将上传下达的环节精简、时限压缩、效率提升。</w:t>
      </w:r>
    </w:p>
    <w:p>
      <w:pPr>
        <w:ind w:firstLine="643" w:firstLineChars="200"/>
        <w:rPr>
          <w:rFonts w:ascii="仿宋_GB2312" w:hAnsi="Times New Roman" w:eastAsia="仿宋_GB2312" w:cs="仿宋_GB2312"/>
          <w:color w:val="auto"/>
          <w:sz w:val="32"/>
          <w:szCs w:val="32"/>
          <w:highlight w:val="none"/>
        </w:rPr>
      </w:pPr>
      <w:r>
        <w:rPr>
          <w:rFonts w:hint="eastAsia" w:ascii="仿宋_GB2312" w:hAnsi="Times New Roman" w:eastAsia="仿宋_GB2312" w:cs="仿宋_GB2312"/>
          <w:b/>
          <w:color w:val="auto"/>
          <w:sz w:val="32"/>
          <w:szCs w:val="32"/>
          <w:highlight w:val="none"/>
        </w:rPr>
        <w:t>（四）实施项目帮办代办服务。</w:t>
      </w:r>
      <w:r>
        <w:rPr>
          <w:rFonts w:hint="eastAsia" w:ascii="仿宋_GB2312" w:hAnsi="Times New Roman" w:eastAsia="仿宋_GB2312" w:cs="仿宋_GB2312"/>
          <w:color w:val="auto"/>
          <w:sz w:val="32"/>
          <w:szCs w:val="32"/>
          <w:highlight w:val="none"/>
        </w:rPr>
        <w:t>设置帮办代办专窗，采取一个窗口受理、审批事项内部流转的方式，协调解决企业(项目)、群众在审批服务过程中遇到的</w:t>
      </w:r>
      <w:r>
        <w:rPr>
          <w:rFonts w:hint="eastAsia" w:ascii="仿宋_GB2312" w:hAnsi="仿宋" w:eastAsia="仿宋_GB2312" w:cs="仿宋"/>
          <w:snapToGrid w:val="0"/>
          <w:color w:val="auto"/>
          <w:spacing w:val="-10"/>
          <w:kern w:val="0"/>
          <w:sz w:val="32"/>
          <w:szCs w:val="32"/>
          <w:highlight w:val="none"/>
        </w:rPr>
        <w:t>问题，强化事前事中事后主动服务，为服务对象提供“贵宾式”帮办代办服务，同时支持社会中介机构有偿服务，实现企业</w:t>
      </w:r>
      <w:r>
        <w:rPr>
          <w:rFonts w:hint="eastAsia" w:ascii="仿宋_GB2312" w:hAnsi="Times New Roman" w:eastAsia="仿宋_GB2312" w:cs="仿宋_GB2312"/>
          <w:color w:val="auto"/>
          <w:sz w:val="32"/>
          <w:szCs w:val="32"/>
          <w:highlight w:val="none"/>
        </w:rPr>
        <w:t>少跑腿、项目快落地、群众更便捷。</w:t>
      </w:r>
    </w:p>
    <w:p>
      <w:pPr>
        <w:ind w:firstLine="643" w:firstLineChars="200"/>
        <w:rPr>
          <w:rFonts w:ascii="仿宋_GB2312" w:hAnsi="Times New Roman" w:eastAsia="仿宋_GB2312" w:cs="仿宋_GB2312"/>
          <w:color w:val="auto"/>
          <w:sz w:val="32"/>
          <w:szCs w:val="32"/>
          <w:highlight w:val="none"/>
        </w:rPr>
      </w:pPr>
      <w:r>
        <w:rPr>
          <w:rFonts w:hint="eastAsia" w:ascii="仿宋_GB2312" w:hAnsi="Times New Roman" w:eastAsia="仿宋_GB2312" w:cs="仿宋_GB2312"/>
          <w:b/>
          <w:color w:val="auto"/>
          <w:sz w:val="32"/>
          <w:szCs w:val="32"/>
          <w:highlight w:val="none"/>
        </w:rPr>
        <w:t>（五）开设政务服务大厅绿色通道。</w:t>
      </w:r>
      <w:r>
        <w:rPr>
          <w:rFonts w:hint="eastAsia" w:ascii="仿宋_GB2312" w:hAnsi="Times New Roman" w:eastAsia="仿宋_GB2312" w:cs="仿宋_GB2312"/>
          <w:color w:val="auto"/>
          <w:sz w:val="32"/>
          <w:szCs w:val="32"/>
          <w:highlight w:val="none"/>
        </w:rPr>
        <w:t>遵循从简从快、特事特办、免费服务的原则，符合七类“绿色通道”服务范畴，设置“绿色通道”服务窗口，并指定专人负责“绿色通道”事项办理工作。</w:t>
      </w:r>
    </w:p>
    <w:p>
      <w:pPr>
        <w:spacing w:line="576" w:lineRule="exact"/>
        <w:ind w:firstLine="643" w:firstLineChars="200"/>
        <w:rPr>
          <w:rFonts w:ascii="仿宋_GB2312" w:hAnsi="Times New Roman" w:eastAsia="仿宋_GB2312" w:cs="仿宋_GB2312"/>
          <w:color w:val="auto"/>
          <w:sz w:val="32"/>
          <w:szCs w:val="32"/>
          <w:highlight w:val="none"/>
        </w:rPr>
      </w:pPr>
      <w:r>
        <w:rPr>
          <w:rFonts w:hint="eastAsia" w:ascii="仿宋_GB2312" w:hAnsi="Times New Roman" w:eastAsia="仿宋_GB2312" w:cs="楷体_GB2312"/>
          <w:b/>
          <w:color w:val="auto"/>
          <w:sz w:val="32"/>
          <w:szCs w:val="32"/>
          <w:highlight w:val="none"/>
        </w:rPr>
        <w:t>（六）实行</w:t>
      </w:r>
      <w:r>
        <w:rPr>
          <w:rFonts w:hint="eastAsia" w:ascii="仿宋_GB2312" w:hAnsi="Calibri" w:eastAsia="仿宋_GB2312" w:cs="Calibri"/>
          <w:b/>
          <w:color w:val="auto"/>
          <w:kern w:val="0"/>
          <w:sz w:val="32"/>
          <w:szCs w:val="32"/>
          <w:highlight w:val="none"/>
        </w:rPr>
        <w:t>涉企行政检查“零打扰”工作机制</w:t>
      </w:r>
      <w:r>
        <w:rPr>
          <w:rFonts w:hint="eastAsia" w:ascii="仿宋_GB2312" w:hAnsi="Times New Roman" w:eastAsia="仿宋_GB2312" w:cs="楷体_GB2312"/>
          <w:b/>
          <w:color w:val="auto"/>
          <w:sz w:val="32"/>
          <w:szCs w:val="32"/>
          <w:highlight w:val="none"/>
        </w:rPr>
        <w:t>。</w:t>
      </w:r>
      <w:r>
        <w:rPr>
          <w:rFonts w:hint="eastAsia" w:ascii="仿宋_GB2312" w:hAnsi="Times New Roman" w:eastAsia="仿宋_GB2312" w:cs="仿宋_GB2312"/>
          <w:color w:val="auto"/>
          <w:sz w:val="32"/>
          <w:szCs w:val="32"/>
          <w:highlight w:val="none"/>
        </w:rPr>
        <w:t>各级各部门根据实际情况开展日常行政检查工作，制定和公布年度行政检查工作计划，合理确定行政检查的事项、方式、对象、时间等。</w:t>
      </w:r>
      <w:r>
        <w:rPr>
          <w:rFonts w:hint="eastAsia" w:ascii="仿宋_GB2312" w:hAnsi="Calibri" w:eastAsia="仿宋_GB2312" w:cs="Calibri"/>
          <w:color w:val="auto"/>
          <w:kern w:val="0"/>
          <w:sz w:val="32"/>
          <w:szCs w:val="32"/>
          <w:highlight w:val="none"/>
        </w:rPr>
        <w:t>无特殊情况，各职能部门不得随意检</w:t>
      </w:r>
      <w:r>
        <w:rPr>
          <w:rFonts w:hint="eastAsia" w:ascii="仿宋_GB2312" w:hAnsi="Times New Roman" w:eastAsia="仿宋_GB2312" w:cs="仿宋_GB2312"/>
          <w:color w:val="auto"/>
          <w:sz w:val="32"/>
          <w:szCs w:val="32"/>
          <w:highlight w:val="none"/>
        </w:rPr>
        <w:t>查、干扰企业正常生产经营。在开展行政检查中，实行入企检查备案制度，推行部门联合检查机制，行政检查陪同制度，切实减轻企业负担，为企业创造宽松的生产经营环境。</w:t>
      </w:r>
    </w:p>
    <w:p>
      <w:pPr>
        <w:spacing w:line="576" w:lineRule="exact"/>
        <w:ind w:firstLine="643" w:firstLineChars="200"/>
        <w:rPr>
          <w:rFonts w:ascii="仿宋_GB2312" w:hAnsi="Times New Roman" w:eastAsia="仿宋_GB2312" w:cs="仿宋_GB2312"/>
          <w:color w:val="auto"/>
          <w:sz w:val="32"/>
          <w:szCs w:val="32"/>
          <w:highlight w:val="none"/>
        </w:rPr>
      </w:pPr>
      <w:r>
        <w:rPr>
          <w:rFonts w:hint="eastAsia" w:ascii="仿宋_GB2312" w:hAnsi="Times New Roman" w:eastAsia="仿宋_GB2312" w:cs="楷体_GB2312"/>
          <w:b/>
          <w:color w:val="auto"/>
          <w:sz w:val="32"/>
          <w:szCs w:val="32"/>
          <w:highlight w:val="none"/>
        </w:rPr>
        <w:t>（七）深化包容审慎监管机制。</w:t>
      </w:r>
      <w:r>
        <w:rPr>
          <w:rFonts w:hint="eastAsia" w:ascii="仿宋_GB2312" w:hAnsi="Times New Roman" w:eastAsia="仿宋_GB2312" w:cs="仿宋_GB2312"/>
          <w:color w:val="auto"/>
          <w:sz w:val="32"/>
          <w:szCs w:val="32"/>
          <w:highlight w:val="none"/>
        </w:rPr>
        <w:t>区级行政执法相关部门，要进一步改进行政执法，</w:t>
      </w:r>
      <w:r>
        <w:rPr>
          <w:rFonts w:hint="eastAsia" w:ascii="仿宋_GB2312" w:hAnsi="Times New Roman" w:eastAsia="仿宋_GB2312" w:cs="仿宋_GB2312"/>
          <w:color w:val="auto"/>
          <w:sz w:val="32"/>
          <w:szCs w:val="32"/>
          <w:highlight w:val="none"/>
        </w:rPr>
        <w:t>在合法合规的前提下，坚持处罚与教育相结合，准确适用行政裁量权。通过教育提醒、劝导示范、行政指导等柔性执法方式</w:t>
      </w:r>
      <w:r>
        <w:rPr>
          <w:rFonts w:hint="eastAsia" w:ascii="仿宋_GB2312" w:hAnsi="Times New Roman" w:eastAsia="仿宋_GB2312" w:cs="仿宋_GB2312"/>
          <w:color w:val="auto"/>
          <w:sz w:val="32"/>
          <w:szCs w:val="32"/>
          <w:highlight w:val="none"/>
        </w:rPr>
        <w:t>，在裁量权限范围内不予处罚或者从轻减轻处罚，引导市场主体自觉守法、自我纠错，让营商环境更有温度。</w:t>
      </w:r>
    </w:p>
    <w:p>
      <w:pPr>
        <w:spacing w:line="576" w:lineRule="exact"/>
        <w:ind w:firstLine="643" w:firstLineChars="200"/>
        <w:rPr>
          <w:rFonts w:ascii="仿宋_GB2312" w:hAnsi="Times New Roman" w:eastAsia="仿宋_GB2312" w:cs="仿宋_GB2312"/>
          <w:color w:val="auto"/>
          <w:sz w:val="32"/>
          <w:szCs w:val="32"/>
          <w:highlight w:val="none"/>
        </w:rPr>
      </w:pPr>
      <w:r>
        <w:rPr>
          <w:rFonts w:hint="eastAsia" w:ascii="仿宋_GB2312" w:hAnsi="Times New Roman" w:eastAsia="仿宋_GB2312" w:cs="仿宋_GB2312"/>
          <w:b/>
          <w:color w:val="auto"/>
          <w:sz w:val="32"/>
          <w:szCs w:val="32"/>
          <w:highlight w:val="none"/>
        </w:rPr>
        <w:t>（八）创新办成“办不成事”工作机制。</w:t>
      </w:r>
      <w:r>
        <w:rPr>
          <w:rFonts w:hint="eastAsia" w:ascii="仿宋_GB2312" w:hAnsi="Calibri" w:eastAsia="仿宋_GB2312" w:cs="Calibri"/>
          <w:color w:val="auto"/>
          <w:kern w:val="0"/>
          <w:sz w:val="32"/>
          <w:szCs w:val="32"/>
          <w:highlight w:val="none"/>
        </w:rPr>
        <w:t>坚持问题导向、需求导向，及时解决企业群众在生活、生产经营中遇到的“疑难杂症”。根据收集问题情况，梳理出</w:t>
      </w:r>
      <w:r>
        <w:rPr>
          <w:rFonts w:hint="eastAsia" w:ascii="仿宋_GB2312" w:hAnsi="Calibri" w:eastAsia="仿宋_GB2312" w:cs="Calibri"/>
          <w:color w:val="auto"/>
          <w:sz w:val="32"/>
          <w:szCs w:val="32"/>
          <w:highlight w:val="none"/>
        </w:rPr>
        <w:t>“应该办、有政策瓶颈”的个案、共性问题，实行分级响应，建立联席会议制度。</w:t>
      </w:r>
      <w:r>
        <w:rPr>
          <w:rFonts w:hint="eastAsia" w:ascii="仿宋_GB2312" w:hAnsi="Calibri" w:eastAsia="仿宋_GB2312" w:cs="Calibri"/>
          <w:color w:val="auto"/>
          <w:kern w:val="0"/>
          <w:sz w:val="32"/>
          <w:szCs w:val="32"/>
          <w:highlight w:val="none"/>
        </w:rPr>
        <w:t>为企业群众办事提供“兜底”“暖心”服务，确保企业群众反映问题件件有着落，事事有回音。</w:t>
      </w:r>
    </w:p>
    <w:p>
      <w:pPr>
        <w:spacing w:line="576" w:lineRule="exact"/>
        <w:ind w:firstLine="643" w:firstLineChars="200"/>
        <w:rPr>
          <w:rFonts w:ascii="仿宋_GB2312" w:hAnsi="仿宋_GB2312" w:eastAsia="仿宋_GB2312" w:cs="仿宋_GB2312"/>
          <w:color w:val="auto"/>
          <w:kern w:val="0"/>
          <w:sz w:val="32"/>
          <w:szCs w:val="32"/>
          <w:highlight w:val="none"/>
        </w:rPr>
      </w:pPr>
      <w:r>
        <w:rPr>
          <w:rFonts w:hint="eastAsia" w:ascii="仿宋_GB2312" w:hAnsi="Times New Roman" w:eastAsia="仿宋_GB2312" w:cs="仿宋_GB2312"/>
          <w:b/>
          <w:color w:val="auto"/>
          <w:sz w:val="32"/>
          <w:szCs w:val="32"/>
          <w:highlight w:val="none"/>
        </w:rPr>
        <w:t>（九）推进容错纠错机制。</w:t>
      </w:r>
      <w:r>
        <w:rPr>
          <w:rFonts w:hint="eastAsia" w:ascii="仿宋_GB2312" w:hAnsi="Times New Roman" w:eastAsia="仿宋_GB2312" w:cs="仿宋_GB2312"/>
          <w:color w:val="auto"/>
          <w:sz w:val="32"/>
          <w:szCs w:val="32"/>
          <w:highlight w:val="none"/>
        </w:rPr>
        <w:t>各级各部门要充分调动干部干事创业的积极性，营造锐意改革、勇于创新、敢于担当、合理容错的良好环境。在落实重大决策部署、推动重点项目、服务市场主体中，认真按照程序集体研究、民主决策、阳光运作，为创新机制“开绿灯”，为敢干的人“兜住底”，营造干部敢担当的浓厚氛</w:t>
      </w:r>
      <w:bookmarkStart w:id="0" w:name="_GoBack"/>
      <w:bookmarkEnd w:id="0"/>
      <w:r>
        <w:rPr>
          <w:rFonts w:hint="eastAsia" w:ascii="仿宋_GB2312" w:hAnsi="Times New Roman" w:eastAsia="仿宋_GB2312" w:cs="仿宋_GB2312"/>
          <w:color w:val="auto"/>
          <w:sz w:val="32"/>
          <w:szCs w:val="32"/>
          <w:highlight w:val="none"/>
        </w:rPr>
        <w:t>围。</w:t>
      </w:r>
    </w:p>
    <w:p>
      <w:pPr>
        <w:ind w:firstLine="803" w:firstLineChars="250"/>
        <w:rPr>
          <w:rFonts w:ascii="仿宋_GB2312" w:hAnsi="Times New Roman" w:eastAsia="仿宋_GB2312" w:cs="仿宋_GB2312"/>
          <w:b/>
          <w:color w:val="auto"/>
          <w:sz w:val="32"/>
          <w:szCs w:val="32"/>
          <w:highlight w:val="none"/>
        </w:rPr>
      </w:pPr>
      <w:r>
        <w:rPr>
          <w:rFonts w:hint="eastAsia" w:ascii="仿宋_GB2312" w:hAnsi="Times New Roman" w:eastAsia="仿宋_GB2312" w:cs="仿宋_GB2312"/>
          <w:b/>
          <w:color w:val="auto"/>
          <w:sz w:val="32"/>
          <w:szCs w:val="32"/>
          <w:highlight w:val="none"/>
        </w:rPr>
        <w:t>三、保障措施</w:t>
      </w:r>
    </w:p>
    <w:p>
      <w:pPr>
        <w:ind w:firstLine="643" w:firstLineChars="200"/>
        <w:rPr>
          <w:rFonts w:ascii="仿宋_GB2312" w:hAnsi="Times New Roman" w:eastAsia="仿宋_GB2312" w:cs="仿宋_GB2312"/>
          <w:color w:val="auto"/>
          <w:sz w:val="32"/>
          <w:szCs w:val="32"/>
          <w:highlight w:val="none"/>
        </w:rPr>
      </w:pPr>
      <w:r>
        <w:rPr>
          <w:rFonts w:hint="eastAsia" w:ascii="仿宋_GB2312" w:hAnsi="Times New Roman" w:eastAsia="仿宋_GB2312" w:cs="仿宋_GB2312"/>
          <w:b/>
          <w:color w:val="auto"/>
          <w:sz w:val="32"/>
          <w:szCs w:val="32"/>
          <w:highlight w:val="none"/>
        </w:rPr>
        <w:t>（一）加强组织领导。</w:t>
      </w:r>
      <w:r>
        <w:rPr>
          <w:rFonts w:hint="eastAsia" w:ascii="仿宋_GB2312" w:hAnsi="Times New Roman" w:eastAsia="仿宋_GB2312" w:cs="仿宋_GB2312"/>
          <w:color w:val="auto"/>
          <w:sz w:val="32"/>
          <w:szCs w:val="32"/>
          <w:highlight w:val="none"/>
        </w:rPr>
        <w:t>区政府办、发改局等相关部门要根据工作要求认真组织实施，确保工作真正落地见效，提高工作效率和满意度。</w:t>
      </w:r>
    </w:p>
    <w:p>
      <w:pPr>
        <w:ind w:firstLine="643" w:firstLineChars="200"/>
        <w:rPr>
          <w:rFonts w:ascii="仿宋_GB2312" w:hAnsi="Times New Roman" w:eastAsia="仿宋_GB2312" w:cs="仿宋_GB2312"/>
          <w:color w:val="auto"/>
          <w:sz w:val="32"/>
          <w:szCs w:val="32"/>
          <w:highlight w:val="none"/>
        </w:rPr>
      </w:pPr>
      <w:r>
        <w:rPr>
          <w:rFonts w:hint="eastAsia" w:ascii="仿宋_GB2312" w:hAnsi="Times New Roman" w:eastAsia="仿宋_GB2312" w:cs="仿宋_GB2312"/>
          <w:b/>
          <w:color w:val="auto"/>
          <w:sz w:val="32"/>
          <w:szCs w:val="32"/>
          <w:highlight w:val="none"/>
        </w:rPr>
        <w:t>（二）强化宣传发动。</w:t>
      </w:r>
      <w:r>
        <w:rPr>
          <w:rFonts w:hint="eastAsia" w:ascii="仿宋_GB2312" w:hAnsi="Times New Roman" w:eastAsia="仿宋_GB2312" w:cs="仿宋_GB2312"/>
          <w:color w:val="auto"/>
          <w:sz w:val="32"/>
          <w:szCs w:val="32"/>
          <w:highlight w:val="none"/>
        </w:rPr>
        <w:t>工作机制正式印发后，要通过政府网站、微信公众号、微信工作群等方式向全区所有企业和具有行政检查职能的部门和单位进行广泛宣传发动，做好广而告之，家喻户晓。</w:t>
      </w:r>
    </w:p>
    <w:p>
      <w:pPr>
        <w:ind w:firstLine="643" w:firstLineChars="200"/>
        <w:rPr>
          <w:rFonts w:ascii="仿宋_GB2312" w:hAnsi="Times New Roman" w:eastAsia="仿宋_GB2312" w:cs="仿宋_GB2312"/>
          <w:color w:val="auto"/>
          <w:sz w:val="32"/>
          <w:szCs w:val="32"/>
          <w:highlight w:val="none"/>
        </w:rPr>
      </w:pPr>
      <w:r>
        <w:rPr>
          <w:rFonts w:hint="eastAsia" w:ascii="仿宋_GB2312" w:hAnsi="Times New Roman" w:eastAsia="仿宋_GB2312" w:cs="仿宋_GB2312"/>
          <w:b/>
          <w:color w:val="auto"/>
          <w:sz w:val="32"/>
          <w:szCs w:val="32"/>
          <w:highlight w:val="none"/>
        </w:rPr>
        <w:t>（三）严肃效能检查。</w:t>
      </w:r>
      <w:r>
        <w:rPr>
          <w:rFonts w:hint="eastAsia" w:ascii="仿宋_GB2312" w:hAnsi="Times New Roman" w:eastAsia="仿宋_GB2312" w:cs="仿宋_GB2312"/>
          <w:color w:val="auto"/>
          <w:sz w:val="32"/>
          <w:szCs w:val="32"/>
          <w:highlight w:val="none"/>
        </w:rPr>
        <w:t>区效能办、区营商办负责全过程效能检查工作，对各单位各项政策落实开展情况进行不定期检查，对各单位服务企业情况进行跟踪问效。将开展情况列入各单位年终绩效考评。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dlNDVmMDhlODEzOGNjMTYwOGMzMzQ3YTI1MWUyZjQifQ=="/>
  </w:docVars>
  <w:rsids>
    <w:rsidRoot w:val="004F6D10"/>
    <w:rsid w:val="001808A7"/>
    <w:rsid w:val="00203AF4"/>
    <w:rsid w:val="00290280"/>
    <w:rsid w:val="00292340"/>
    <w:rsid w:val="00311938"/>
    <w:rsid w:val="003333E0"/>
    <w:rsid w:val="00334DEB"/>
    <w:rsid w:val="003B21AA"/>
    <w:rsid w:val="004F6D10"/>
    <w:rsid w:val="00562787"/>
    <w:rsid w:val="00592FB3"/>
    <w:rsid w:val="006167AD"/>
    <w:rsid w:val="00652B7A"/>
    <w:rsid w:val="00654BF7"/>
    <w:rsid w:val="0066335E"/>
    <w:rsid w:val="00683257"/>
    <w:rsid w:val="00693013"/>
    <w:rsid w:val="006A61BC"/>
    <w:rsid w:val="00827343"/>
    <w:rsid w:val="00832551"/>
    <w:rsid w:val="008412A0"/>
    <w:rsid w:val="00863755"/>
    <w:rsid w:val="00873293"/>
    <w:rsid w:val="00881549"/>
    <w:rsid w:val="00892EED"/>
    <w:rsid w:val="008945E3"/>
    <w:rsid w:val="00912857"/>
    <w:rsid w:val="00933256"/>
    <w:rsid w:val="0094283A"/>
    <w:rsid w:val="009574BE"/>
    <w:rsid w:val="00986E5A"/>
    <w:rsid w:val="00A05F8B"/>
    <w:rsid w:val="00A57580"/>
    <w:rsid w:val="00B00D78"/>
    <w:rsid w:val="00B138CB"/>
    <w:rsid w:val="00BA1F8C"/>
    <w:rsid w:val="00C56838"/>
    <w:rsid w:val="00C855D2"/>
    <w:rsid w:val="00D83AEB"/>
    <w:rsid w:val="00DB327C"/>
    <w:rsid w:val="00DD71E0"/>
    <w:rsid w:val="00E00CA1"/>
    <w:rsid w:val="00E36E24"/>
    <w:rsid w:val="00F275AA"/>
    <w:rsid w:val="00F7080A"/>
    <w:rsid w:val="00F9674E"/>
    <w:rsid w:val="00FA1EB2"/>
    <w:rsid w:val="00FD0012"/>
    <w:rsid w:val="00FD7540"/>
    <w:rsid w:val="428852CE"/>
    <w:rsid w:val="61282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21DDF-242F-49C3-8197-15EC6188BB6C}">
  <ds:schemaRefs/>
</ds:datastoreItem>
</file>

<file path=docProps/app.xml><?xml version="1.0" encoding="utf-8"?>
<Properties xmlns="http://schemas.openxmlformats.org/officeDocument/2006/extended-properties" xmlns:vt="http://schemas.openxmlformats.org/officeDocument/2006/docPropsVTypes">
  <Template>Normal</Template>
  <Pages>4</Pages>
  <Words>1737</Words>
  <Characters>1743</Characters>
  <Lines>12</Lines>
  <Paragraphs>3</Paragraphs>
  <TotalTime>393</TotalTime>
  <ScaleCrop>false</ScaleCrop>
  <LinksUpToDate>false</LinksUpToDate>
  <CharactersWithSpaces>1744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2023-03-21T07:32:00Z</dcterms:created>
  <dc:creator>Administrator</dc:creator>
  <cp:lastModifiedBy>Administrator</cp:lastModifiedBy>
  <cp:lastPrinted>2023-03-23T03:43:00Z</cp:lastPrinted>
  <dcterms:modified xsi:type="dcterms:W3CDTF">2023-05-06T09:23:00Z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97403419A3B8490286BC37AF6872E56B_12</vt:lpwstr>
  </property>
</Properties>
</file>